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6609F" w14:textId="4137E400" w:rsidR="00AC2C2A" w:rsidRDefault="00AC2C2A" w:rsidP="00AC2C2A">
      <w:pPr>
        <w:pStyle w:val="3GPPHeader"/>
        <w:spacing w:after="60"/>
        <w:rPr>
          <w:sz w:val="32"/>
          <w:szCs w:val="32"/>
          <w:highlight w:val="yellow"/>
        </w:rPr>
      </w:pPr>
      <w:r w:rsidRPr="0081693B">
        <w:rPr>
          <w:lang w:val="en-US"/>
        </w:rPr>
        <w:t xml:space="preserve">3GPP TSG-RAN </w:t>
      </w:r>
      <w:r>
        <w:rPr>
          <w:lang w:val="en-US"/>
        </w:rPr>
        <w:t xml:space="preserve">WG1 </w:t>
      </w:r>
      <w:r w:rsidRPr="0081693B">
        <w:rPr>
          <w:lang w:val="en-US"/>
        </w:rPr>
        <w:t>Meeting #</w:t>
      </w:r>
      <w:r>
        <w:rPr>
          <w:lang w:val="en-US"/>
        </w:rPr>
        <w:t>92</w:t>
      </w:r>
      <w:r>
        <w:tab/>
      </w:r>
      <w:r w:rsidR="002656D4" w:rsidRPr="002656D4">
        <w:rPr>
          <w:sz w:val="32"/>
          <w:szCs w:val="32"/>
        </w:rPr>
        <w:t>R1-1802778</w:t>
      </w:r>
    </w:p>
    <w:p w14:paraId="1AC5B012" w14:textId="77777777" w:rsidR="00AC2C2A" w:rsidRDefault="00AC2C2A" w:rsidP="00AC2C2A">
      <w:pPr>
        <w:pStyle w:val="CRCoverPage"/>
        <w:outlineLvl w:val="0"/>
        <w:rPr>
          <w:b/>
          <w:noProof/>
          <w:sz w:val="24"/>
        </w:rPr>
      </w:pPr>
      <w:r>
        <w:rPr>
          <w:b/>
          <w:noProof/>
          <w:sz w:val="24"/>
        </w:rPr>
        <w:t>Athens, Greece, 26</w:t>
      </w:r>
      <w:r w:rsidRPr="00E436AC">
        <w:rPr>
          <w:b/>
          <w:noProof/>
          <w:sz w:val="24"/>
          <w:vertAlign w:val="superscript"/>
        </w:rPr>
        <w:t>th</w:t>
      </w:r>
      <w:r>
        <w:rPr>
          <w:b/>
          <w:noProof/>
          <w:sz w:val="24"/>
        </w:rPr>
        <w:t xml:space="preserve"> Feb. – 2</w:t>
      </w:r>
      <w:r w:rsidRPr="00CE3B61">
        <w:rPr>
          <w:b/>
          <w:noProof/>
          <w:sz w:val="24"/>
          <w:vertAlign w:val="superscript"/>
        </w:rPr>
        <w:t>nd</w:t>
      </w:r>
      <w:r>
        <w:rPr>
          <w:b/>
          <w:noProof/>
          <w:sz w:val="24"/>
        </w:rPr>
        <w:t xml:space="preserve"> March</w:t>
      </w:r>
      <w:r w:rsidRPr="0081693B">
        <w:rPr>
          <w:b/>
          <w:noProof/>
          <w:sz w:val="24"/>
        </w:rPr>
        <w:t xml:space="preserve"> 2018</w:t>
      </w:r>
    </w:p>
    <w:p w14:paraId="2D006321" w14:textId="77777777" w:rsidR="00AC2C2A" w:rsidRPr="00CE0424" w:rsidRDefault="00AC2C2A" w:rsidP="00AC2C2A">
      <w:pPr>
        <w:pStyle w:val="3GPPHeader"/>
      </w:pPr>
    </w:p>
    <w:p w14:paraId="02E7B27F" w14:textId="77777777" w:rsidR="00AC2C2A" w:rsidRPr="00D50701" w:rsidRDefault="00AC2C2A" w:rsidP="00AC2C2A">
      <w:pPr>
        <w:pStyle w:val="3GPPHeader"/>
        <w:rPr>
          <w:sz w:val="22"/>
          <w:szCs w:val="22"/>
          <w:lang w:val="en-US"/>
        </w:rPr>
      </w:pPr>
      <w:r w:rsidRPr="00D50701">
        <w:rPr>
          <w:sz w:val="22"/>
          <w:szCs w:val="22"/>
          <w:lang w:val="en-US"/>
        </w:rPr>
        <w:t>Agenda Item:</w:t>
      </w:r>
      <w:r w:rsidRPr="00D50701">
        <w:rPr>
          <w:sz w:val="22"/>
          <w:szCs w:val="22"/>
          <w:lang w:val="en-US"/>
        </w:rPr>
        <w:tab/>
        <w:t>7.6.5</w:t>
      </w:r>
    </w:p>
    <w:p w14:paraId="0AF7AA0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B7F4D5" w14:textId="1832A4B3" w:rsidR="004D127B" w:rsidRDefault="003D3C45" w:rsidP="004D127B">
      <w:pPr>
        <w:pStyle w:val="3GPPHeader"/>
        <w:rPr>
          <w:sz w:val="22"/>
          <w:szCs w:val="22"/>
        </w:rPr>
      </w:pPr>
      <w:r>
        <w:rPr>
          <w:sz w:val="22"/>
          <w:szCs w:val="22"/>
        </w:rPr>
        <w:t>Title:</w:t>
      </w:r>
      <w:r w:rsidR="00E90E49" w:rsidRPr="00CE0424">
        <w:rPr>
          <w:sz w:val="22"/>
          <w:szCs w:val="22"/>
        </w:rPr>
        <w:tab/>
      </w:r>
      <w:r w:rsidR="002656D4">
        <w:rPr>
          <w:sz w:val="22"/>
          <w:szCs w:val="22"/>
        </w:rPr>
        <w:t xml:space="preserve">On </w:t>
      </w:r>
      <w:r w:rsidR="00865098">
        <w:rPr>
          <w:sz w:val="22"/>
          <w:szCs w:val="22"/>
        </w:rPr>
        <w:t>PRACH</w:t>
      </w:r>
      <w:r w:rsidR="004D127B" w:rsidRPr="004D127B">
        <w:rPr>
          <w:sz w:val="22"/>
          <w:szCs w:val="22"/>
        </w:rPr>
        <w:t xml:space="preserve"> for NR in Unlicensed Spectrum</w:t>
      </w:r>
    </w:p>
    <w:p w14:paraId="74113AE8" w14:textId="7C83DCBB" w:rsidR="00E90E49" w:rsidRPr="002F59AC" w:rsidRDefault="00E90E49" w:rsidP="004D127B">
      <w:pPr>
        <w:pStyle w:val="3GPPHeader"/>
        <w:rPr>
          <w:sz w:val="22"/>
          <w:szCs w:val="22"/>
        </w:rPr>
      </w:pPr>
      <w:r w:rsidRPr="002242B7">
        <w:rPr>
          <w:sz w:val="22"/>
          <w:szCs w:val="22"/>
        </w:rPr>
        <w:t>Document for:</w:t>
      </w:r>
      <w:r w:rsidRPr="002242B7">
        <w:rPr>
          <w:sz w:val="22"/>
          <w:szCs w:val="22"/>
        </w:rPr>
        <w:tab/>
        <w:t>Discussion, Decision</w:t>
      </w:r>
    </w:p>
    <w:p w14:paraId="540DC553" w14:textId="77777777" w:rsidR="00C24345" w:rsidRDefault="00E90E49" w:rsidP="00A2052C">
      <w:pPr>
        <w:pStyle w:val="Heading1"/>
      </w:pPr>
      <w:r w:rsidRPr="00CE0424">
        <w:t>Introduction</w:t>
      </w:r>
    </w:p>
    <w:p w14:paraId="1A931C2C" w14:textId="4C397F59" w:rsidR="002B272F" w:rsidRDefault="002B272F" w:rsidP="002B272F">
      <w:pPr>
        <w:pStyle w:val="BodyText"/>
      </w:pPr>
      <w:r>
        <w:t xml:space="preserve">In order to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_Ref481486326 \r \h </w:instrText>
      </w:r>
      <w:r>
        <w:fldChar w:fldCharType="separate"/>
      </w:r>
      <w:r>
        <w:t>[1]</w:t>
      </w:r>
      <w:r>
        <w:fldChar w:fldCharType="end"/>
      </w:r>
      <w:r>
        <w:t xml:space="preserve">. </w:t>
      </w:r>
      <w:r w:rsidR="00375CFA">
        <w:t xml:space="preserve">One of the objectives is: </w:t>
      </w:r>
    </w:p>
    <w:p w14:paraId="32D7FB74" w14:textId="77777777" w:rsidR="002F59AC" w:rsidRPr="00380148" w:rsidRDefault="002F59AC" w:rsidP="002F59AC">
      <w:pPr>
        <w:numPr>
          <w:ilvl w:val="0"/>
          <w:numId w:val="28"/>
        </w:numPr>
        <w:spacing w:after="0"/>
        <w:jc w:val="left"/>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2F57E27C" w14:textId="3D752F2E" w:rsidR="00A2052C" w:rsidRDefault="002F59AC" w:rsidP="002F59AC">
      <w:pPr>
        <w:numPr>
          <w:ilvl w:val="1"/>
          <w:numId w:val="28"/>
        </w:numPr>
        <w:spacing w:after="0"/>
        <w:jc w:val="left"/>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539FD179" w14:textId="7472F432" w:rsidR="002F59AC" w:rsidRDefault="002F59AC" w:rsidP="002F59AC">
      <w:pPr>
        <w:spacing w:after="0"/>
        <w:jc w:val="left"/>
        <w:rPr>
          <w:bCs/>
        </w:rPr>
      </w:pPr>
    </w:p>
    <w:p w14:paraId="790F213D" w14:textId="7B9B8056" w:rsidR="002F59AC" w:rsidRPr="002F59AC" w:rsidRDefault="002F59AC" w:rsidP="002F59AC">
      <w:pPr>
        <w:spacing w:after="0"/>
        <w:jc w:val="left"/>
        <w:rPr>
          <w:bCs/>
        </w:rPr>
      </w:pPr>
      <w:r>
        <w:rPr>
          <w:bCs/>
        </w:rPr>
        <w:t xml:space="preserve">Herein, we discuss our view on initial access procedure for NR-U. </w:t>
      </w:r>
    </w:p>
    <w:p w14:paraId="14F75F90" w14:textId="1E348DA5" w:rsidR="00F871D6" w:rsidRPr="005E4B7F" w:rsidRDefault="004000E8" w:rsidP="009B0840">
      <w:pPr>
        <w:pStyle w:val="Heading1"/>
      </w:pPr>
      <w:bookmarkStart w:id="0" w:name="_Ref178064866"/>
      <w:r w:rsidRPr="00CE0424">
        <w:t>Discussion</w:t>
      </w:r>
      <w:bookmarkEnd w:id="0"/>
    </w:p>
    <w:p w14:paraId="00BF2161" w14:textId="77777777" w:rsidR="001034B0" w:rsidRDefault="005E4B7F" w:rsidP="005E4B7F">
      <w:pPr>
        <w:pStyle w:val="Heading2"/>
      </w:pPr>
      <w:r>
        <w:t xml:space="preserve">PRACH procedure </w:t>
      </w:r>
    </w:p>
    <w:p w14:paraId="3F70367E" w14:textId="675E60F1" w:rsidR="005E4B7F" w:rsidRDefault="009B0840" w:rsidP="005E4B7F">
      <w:pPr>
        <w:pStyle w:val="BodyText"/>
        <w:rPr>
          <w:lang w:val="en-US" w:eastAsia="en-US"/>
        </w:rPr>
      </w:pPr>
      <w:bookmarkStart w:id="1" w:name="_Hlk506545098"/>
      <w:r>
        <w:t xml:space="preserve">Support for PRACH is relevant not only for the stand-alone scenario, but also for LTE-NR-U interworking scenarios. </w:t>
      </w:r>
      <w:r w:rsidR="002F59AC">
        <w:t xml:space="preserve">NR specified </w:t>
      </w:r>
      <w:r w:rsidR="005E4B7F">
        <w:t>the support of 4-step PRACH similar to LTE</w:t>
      </w:r>
      <w:r w:rsidR="0060714B">
        <w:t xml:space="preserve"> initial access procedure</w:t>
      </w:r>
      <w:r w:rsidR="005E4B7F">
        <w:t xml:space="preserve">. For unlicensed operation, </w:t>
      </w:r>
      <w:r w:rsidR="0060714B">
        <w:t xml:space="preserve">four-step </w:t>
      </w:r>
      <w:r w:rsidR="005E4B7F">
        <w:t>random access procedure for initial network access implies that up to four independent LBT procedures need to be performed, two by the UE and two by the eNB. This can significantly increase the delay in connecting to the network and reduce the competi</w:t>
      </w:r>
      <w:r w:rsidR="0040778F">
        <w:t>ti</w:t>
      </w:r>
      <w:r w:rsidR="005E4B7F">
        <w:t xml:space="preserve">veness of </w:t>
      </w:r>
      <w:r w:rsidR="0060714B">
        <w:t>NR-U</w:t>
      </w:r>
      <w:r w:rsidR="005E4B7F">
        <w:t xml:space="preserve"> compared to other technologies. Therefore, it is recommended that the initial access is completed in two steps</w:t>
      </w:r>
      <w:bookmarkEnd w:id="1"/>
      <w:r w:rsidR="005E4B7F">
        <w:t>:</w:t>
      </w:r>
    </w:p>
    <w:p w14:paraId="4EE758B7" w14:textId="77777777" w:rsidR="005E4B7F" w:rsidRDefault="005E4B7F" w:rsidP="00165D06">
      <w:pPr>
        <w:pStyle w:val="BodyText"/>
        <w:keepLines/>
        <w:numPr>
          <w:ilvl w:val="0"/>
          <w:numId w:val="12"/>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pPr>
      <w:r>
        <w:t>Step 1: The UE sends an initial identifier and a RRC connection request on the UL, after potentially performing LBT.</w:t>
      </w:r>
    </w:p>
    <w:p w14:paraId="1C433ABA" w14:textId="77777777" w:rsidR="005E4B7F" w:rsidRDefault="005E4B7F" w:rsidP="00165D06">
      <w:pPr>
        <w:pStyle w:val="BodyText"/>
        <w:keepLines/>
        <w:numPr>
          <w:ilvl w:val="0"/>
          <w:numId w:val="12"/>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pPr>
      <w:r>
        <w:t>Step 2: The eNB sends a response with final UE identifier assignment, timing advance information, and contention resolution if needed, potentially after performing LBT.</w:t>
      </w:r>
    </w:p>
    <w:p w14:paraId="5A30A7AB" w14:textId="016E70EF" w:rsidR="005E4B7F" w:rsidRDefault="005E4B7F" w:rsidP="001034B0">
      <w:pPr>
        <w:rPr>
          <w:lang w:val="en-US"/>
        </w:rPr>
      </w:pPr>
    </w:p>
    <w:p w14:paraId="7749631B" w14:textId="77777777" w:rsidR="009B0840" w:rsidRDefault="009B0840" w:rsidP="009B0840">
      <w:pPr>
        <w:pStyle w:val="Proposal"/>
      </w:pPr>
      <w:r w:rsidRPr="00FA0A96">
        <w:t xml:space="preserve">Specify support for PRACH </w:t>
      </w:r>
      <w:r>
        <w:t>for</w:t>
      </w:r>
      <w:r w:rsidRPr="00FA0A96">
        <w:t xml:space="preserve"> both standalone and </w:t>
      </w:r>
      <w:r>
        <w:t>non-standalone</w:t>
      </w:r>
      <w:r w:rsidRPr="00FA0A96">
        <w:t xml:space="preserve"> NR-U. </w:t>
      </w:r>
    </w:p>
    <w:p w14:paraId="03747979" w14:textId="26A1767A" w:rsidR="005E4B7F" w:rsidRDefault="005E4B7F" w:rsidP="00CC3122">
      <w:pPr>
        <w:pStyle w:val="Proposal"/>
      </w:pPr>
      <w:bookmarkStart w:id="2" w:name="_Hlk506545120"/>
      <w:r>
        <w:t>S</w:t>
      </w:r>
      <w:r w:rsidRPr="005E4B7F">
        <w:t xml:space="preserve">upport </w:t>
      </w:r>
      <w:r w:rsidR="00CC3122" w:rsidRPr="00CC3122">
        <w:t>simplified RACH procedure consisting of two main steps</w:t>
      </w:r>
      <w:r w:rsidR="002630C3">
        <w:t>.</w:t>
      </w:r>
    </w:p>
    <w:bookmarkEnd w:id="2"/>
    <w:p w14:paraId="7CD7CB91" w14:textId="21FDDB3A" w:rsidR="00D31E65" w:rsidRDefault="00D31E65" w:rsidP="00D31E65">
      <w:pPr>
        <w:pStyle w:val="Heading2"/>
      </w:pPr>
      <w:r>
        <w:t xml:space="preserve">RACH </w:t>
      </w:r>
      <w:r w:rsidR="001C1DF9">
        <w:t>Configuration</w:t>
      </w:r>
    </w:p>
    <w:p w14:paraId="546FF90A" w14:textId="77777777" w:rsidR="00A9014E" w:rsidRDefault="00D31E65" w:rsidP="00A9014E">
      <w:pPr>
        <w:pStyle w:val="Proposal"/>
        <w:numPr>
          <w:ilvl w:val="0"/>
          <w:numId w:val="0"/>
        </w:numPr>
        <w:rPr>
          <w:b w:val="0"/>
          <w:bCs w:val="0"/>
        </w:rPr>
      </w:pPr>
      <w:bookmarkStart w:id="3" w:name="_Hlk506545134"/>
      <w:r w:rsidRPr="00DF03DA">
        <w:rPr>
          <w:b w:val="0"/>
          <w:bCs w:val="0"/>
        </w:rPr>
        <w:t>NR supports both long (L = 839) and short (L =</w:t>
      </w:r>
      <w:r w:rsidR="00834311">
        <w:rPr>
          <w:b w:val="0"/>
          <w:bCs w:val="0"/>
        </w:rPr>
        <w:t xml:space="preserve"> 139</w:t>
      </w:r>
      <w:r w:rsidRPr="00DF03DA">
        <w:rPr>
          <w:b w:val="0"/>
          <w:bCs w:val="0"/>
        </w:rPr>
        <w:t xml:space="preserve">) preamble sequences. </w:t>
      </w:r>
      <w:r w:rsidR="00C47F6F">
        <w:rPr>
          <w:b w:val="0"/>
          <w:bCs w:val="0"/>
        </w:rPr>
        <w:t xml:space="preserve">The long preambles are mainly targeting large cell deployments which are not applicable for sub-7GHz spectrum. For NR-U, only short preambles are of interest. </w:t>
      </w:r>
    </w:p>
    <w:p w14:paraId="0CBFAB5B" w14:textId="0D68FE83" w:rsidR="00A9014E" w:rsidRDefault="00A9014E" w:rsidP="001C1DF9">
      <w:pPr>
        <w:pStyle w:val="Proposal"/>
      </w:pPr>
      <w:bookmarkStart w:id="4" w:name="_Hlk506545222"/>
      <w:bookmarkEnd w:id="3"/>
      <w:r>
        <w:t>NR-U should</w:t>
      </w:r>
      <w:r w:rsidR="00803CE2">
        <w:t xml:space="preserve"> support </w:t>
      </w:r>
      <w:r>
        <w:t>short PRACH sequence length</w:t>
      </w:r>
    </w:p>
    <w:bookmarkEnd w:id="4"/>
    <w:p w14:paraId="4C1C8C10" w14:textId="09F81163" w:rsidR="00A9014E" w:rsidRPr="00E74C74" w:rsidRDefault="00A9014E" w:rsidP="00A9014E">
      <w:pPr>
        <w:rPr>
          <w:lang w:eastAsia="ja-JP"/>
        </w:rPr>
      </w:pPr>
      <w:r w:rsidRPr="00E74C74">
        <w:rPr>
          <w:lang w:eastAsia="ja-JP"/>
        </w:rPr>
        <w:t xml:space="preserve">Similar to eLAA, there is a need to </w:t>
      </w:r>
      <w:bookmarkStart w:id="5" w:name="_Hlk506545314"/>
      <w:r w:rsidRPr="00E74C74">
        <w:rPr>
          <w:lang w:eastAsia="ja-JP"/>
        </w:rPr>
        <w:t xml:space="preserve">specify interlaced resource allocation to fulfil the PSD restriction in 5GHz. </w:t>
      </w:r>
      <w:bookmarkStart w:id="6" w:name="_Hlk506545167"/>
      <w:r w:rsidRPr="00E74C74">
        <w:rPr>
          <w:lang w:eastAsia="ja-JP"/>
        </w:rPr>
        <w:t xml:space="preserve">The interlaced resource design is applied to all UL transmissions </w:t>
      </w:r>
      <w:bookmarkEnd w:id="5"/>
      <w:r w:rsidRPr="00E74C74">
        <w:rPr>
          <w:lang w:eastAsia="ja-JP"/>
        </w:rPr>
        <w:t xml:space="preserve">including PUSCH, PRACH, and UL reference </w:t>
      </w:r>
      <w:r w:rsidRPr="00E74C74">
        <w:rPr>
          <w:lang w:eastAsia="ja-JP"/>
        </w:rPr>
        <w:lastRenderedPageBreak/>
        <w:t>signals</w:t>
      </w:r>
      <w:bookmarkEnd w:id="6"/>
      <w:r w:rsidRPr="00E74C74">
        <w:rPr>
          <w:lang w:eastAsia="ja-JP"/>
        </w:rPr>
        <w:t xml:space="preserve">. The RACH configuration, which provides the RACH time/frequency information, should support the indication for the resource allocation to be specified for unlicensed operation. </w:t>
      </w:r>
    </w:p>
    <w:p w14:paraId="660471A8" w14:textId="2FE8E3EC" w:rsidR="009407FE" w:rsidRDefault="00A9014E" w:rsidP="009407FE">
      <w:pPr>
        <w:pStyle w:val="Proposal"/>
      </w:pPr>
      <w:bookmarkStart w:id="7" w:name="_Hlk506545667"/>
      <w:r w:rsidRPr="00D87B62">
        <w:t xml:space="preserve">Need to support </w:t>
      </w:r>
      <w:r>
        <w:t>interlaced</w:t>
      </w:r>
      <w:r w:rsidRPr="00D87B62">
        <w:t xml:space="preserve"> PRACH</w:t>
      </w:r>
      <w:r>
        <w:t xml:space="preserve"> resource allocation </w:t>
      </w:r>
      <w:r w:rsidRPr="00D87B62">
        <w:t>for a UE</w:t>
      </w:r>
    </w:p>
    <w:bookmarkEnd w:id="7"/>
    <w:p w14:paraId="10361B70" w14:textId="0C9539BB" w:rsidR="009407FE" w:rsidRDefault="009407FE" w:rsidP="001C1DF9">
      <w:r>
        <w:t>To reduce the transmission granularity and latency, 30 kHz and 60 kHz subcarrier spacing should be considered as numerology candidates for NR in unlicensed spectrum for 5/6 GHz [1].</w:t>
      </w:r>
      <w:r w:rsidRPr="009407FE">
        <w:rPr>
          <w:lang w:eastAsia="ja-JP"/>
        </w:rPr>
        <w:t xml:space="preserve"> </w:t>
      </w:r>
      <w:r>
        <w:rPr>
          <w:lang w:eastAsia="ja-JP"/>
        </w:rPr>
        <w:t>NR supports subcarrier</w:t>
      </w:r>
      <w:r w:rsidRPr="004C4443">
        <w:rPr>
          <w:lang w:eastAsia="ja-JP"/>
        </w:rPr>
        <w:t xml:space="preserve"> spacing</w:t>
      </w:r>
      <w:r>
        <w:rPr>
          <w:lang w:eastAsia="ja-JP"/>
        </w:rPr>
        <w:t>s</w:t>
      </w:r>
      <w:r w:rsidRPr="004C4443">
        <w:rPr>
          <w:lang w:eastAsia="ja-JP"/>
        </w:rPr>
        <w:t xml:space="preserve"> </w:t>
      </w:r>
      <w:r>
        <w:rPr>
          <w:lang w:eastAsia="ja-JP"/>
        </w:rPr>
        <w:t xml:space="preserve">up to 60KHz for PUSCH transmissions. </w:t>
      </w:r>
      <w:r w:rsidR="001C1DF9">
        <w:rPr>
          <w:lang w:eastAsia="ja-JP"/>
        </w:rPr>
        <w:t>B</w:t>
      </w:r>
      <w:r>
        <w:rPr>
          <w:lang w:eastAsia="ja-JP"/>
        </w:rPr>
        <w:t>ut for PRACH, only s</w:t>
      </w:r>
      <w:r w:rsidRPr="004C4443">
        <w:rPr>
          <w:lang w:eastAsia="ja-JP"/>
        </w:rPr>
        <w:t>ubcarrier spacing</w:t>
      </w:r>
      <w:r>
        <w:rPr>
          <w:lang w:eastAsia="ja-JP"/>
        </w:rPr>
        <w:t>s</w:t>
      </w:r>
      <w:r w:rsidRPr="004C4443">
        <w:rPr>
          <w:lang w:eastAsia="ja-JP"/>
        </w:rPr>
        <w:t xml:space="preserve"> of</w:t>
      </w:r>
      <w:r w:rsidRPr="004C4443">
        <w:rPr>
          <w:rFonts w:hint="eastAsia"/>
          <w:lang w:eastAsia="ja-JP"/>
        </w:rPr>
        <w:t xml:space="preserve"> </w:t>
      </w:r>
      <w:r w:rsidRPr="004C4443">
        <w:rPr>
          <w:lang w:eastAsia="ja-JP"/>
        </w:rPr>
        <w:t xml:space="preserve">{15, </w:t>
      </w:r>
      <w:r w:rsidRPr="004C4443">
        <w:rPr>
          <w:rFonts w:hint="eastAsia"/>
          <w:lang w:eastAsia="ja-JP"/>
        </w:rPr>
        <w:t>30</w:t>
      </w:r>
      <w:r w:rsidRPr="004C4443">
        <w:rPr>
          <w:lang w:eastAsia="ja-JP"/>
        </w:rPr>
        <w:t>}</w:t>
      </w:r>
      <w:r>
        <w:rPr>
          <w:lang w:eastAsia="ja-JP"/>
        </w:rPr>
        <w:t xml:space="preserve"> </w:t>
      </w:r>
      <w:r w:rsidRPr="004C4443">
        <w:rPr>
          <w:lang w:eastAsia="ja-JP"/>
        </w:rPr>
        <w:t>kHz</w:t>
      </w:r>
      <w:r>
        <w:rPr>
          <w:lang w:eastAsia="ja-JP"/>
        </w:rPr>
        <w:t xml:space="preserve"> are supported </w:t>
      </w:r>
      <w:r>
        <w:t>for below 6GHz spectrum.</w:t>
      </w:r>
      <w:r>
        <w:rPr>
          <w:lang w:eastAsia="ja-JP"/>
        </w:rPr>
        <w:t xml:space="preserve"> </w:t>
      </w:r>
      <w:r>
        <w:t xml:space="preserve">PRACH SCS is indicated by 1-bit in RRC RACH configuration. </w:t>
      </w:r>
      <w:bookmarkStart w:id="8" w:name="_Hlk506545501"/>
      <w:r>
        <w:t>It is problematic to interlace control and data using different subcarrier spacing.</w:t>
      </w:r>
    </w:p>
    <w:p w14:paraId="06C7610C" w14:textId="02559924" w:rsidR="009407FE" w:rsidRDefault="009407FE" w:rsidP="009407FE">
      <w:pPr>
        <w:pStyle w:val="Proposal"/>
      </w:pPr>
      <w:bookmarkStart w:id="9" w:name="_Hlk506545671"/>
      <w:bookmarkEnd w:id="8"/>
      <w:r>
        <w:t>For below 6GHz NR-U operation, n</w:t>
      </w:r>
      <w:r w:rsidRPr="004C4443">
        <w:t xml:space="preserve">umerology for RACH preamble </w:t>
      </w:r>
      <w:r>
        <w:t xml:space="preserve">should include 60KHz. </w:t>
      </w:r>
    </w:p>
    <w:p w14:paraId="3A8C2462" w14:textId="5479BA2E" w:rsidR="00A9014E" w:rsidRDefault="001C1DF9" w:rsidP="001C1DF9">
      <w:bookmarkStart w:id="10" w:name="_Hlk506545595"/>
      <w:bookmarkEnd w:id="9"/>
      <w:r>
        <w:t>Including</w:t>
      </w:r>
      <w:r w:rsidR="009407FE">
        <w:t xml:space="preserve"> 60KHz for PRACH transmission in spectrum below 6GHz</w:t>
      </w:r>
      <w:bookmarkEnd w:id="10"/>
      <w:r>
        <w:t>, one of the following alternatives can be considered</w:t>
      </w:r>
      <w:r w:rsidR="009407FE">
        <w:t xml:space="preserve">: (1) extend RRC configuration to allow more than 2 SCS options, or (2) reinterpret existing configuration to indicate 30 or 60 </w:t>
      </w:r>
      <w:r w:rsidR="00DE1974">
        <w:t xml:space="preserve">kHz </w:t>
      </w:r>
      <w:r w:rsidR="009407FE">
        <w:t xml:space="preserve">SCS instead of 15 and </w:t>
      </w:r>
      <w:r w:rsidR="00DE1974">
        <w:t>30 kHz</w:t>
      </w:r>
      <w:r w:rsidR="009407FE">
        <w:t xml:space="preserve">.   The second alternative requires less changes. </w:t>
      </w:r>
    </w:p>
    <w:p w14:paraId="27621A37" w14:textId="7DA14EE8" w:rsidR="00C976AE" w:rsidRPr="00C976AE" w:rsidRDefault="00E74C74" w:rsidP="00C976AE">
      <w:r>
        <w:rPr>
          <w:lang w:eastAsia="ja-JP"/>
        </w:rPr>
        <w:t>In RAN1#</w:t>
      </w:r>
      <w:r w:rsidR="00C976AE">
        <w:rPr>
          <w:lang w:eastAsia="ja-JP"/>
        </w:rPr>
        <w:t>91</w:t>
      </w:r>
      <w:r>
        <w:rPr>
          <w:lang w:eastAsia="ja-JP"/>
        </w:rPr>
        <w:t xml:space="preserve">, </w:t>
      </w:r>
      <w:r>
        <w:t xml:space="preserve">it was agreed that NR supports </w:t>
      </w:r>
      <w:r w:rsidR="00C976AE">
        <w:t>the following periodicities for RACH {</w:t>
      </w:r>
      <w:r w:rsidR="00C976AE" w:rsidRPr="00C976AE">
        <w:rPr>
          <w:bCs/>
        </w:rPr>
        <w:t xml:space="preserve"> </w:t>
      </w:r>
      <w:r w:rsidR="00C976AE">
        <w:rPr>
          <w:bCs/>
        </w:rPr>
        <w:t>10, 20, 40, 80, 160</w:t>
      </w:r>
      <w:r w:rsidR="00C976AE">
        <w:t xml:space="preserve">} ms. </w:t>
      </w:r>
      <w:r w:rsidR="00C976AE">
        <w:rPr>
          <w:lang w:val="en-US"/>
        </w:rPr>
        <w:t xml:space="preserve">For NR-U, lower periodicities should be supported to </w:t>
      </w:r>
      <w:r w:rsidR="00C976AE">
        <w:rPr>
          <w:lang w:val="en-US"/>
        </w:rPr>
        <w:t xml:space="preserve">account for possible LBT failure. </w:t>
      </w:r>
    </w:p>
    <w:p w14:paraId="34AD4C49" w14:textId="20B6F897" w:rsidR="00E74C74" w:rsidRPr="00113A32" w:rsidRDefault="00E74C74" w:rsidP="00E74C74">
      <w:pPr>
        <w:pStyle w:val="Proposal"/>
      </w:pPr>
      <w:r>
        <w:t>NR</w:t>
      </w:r>
      <w:r w:rsidR="00C976AE">
        <w:t>-U</w:t>
      </w:r>
      <w:r>
        <w:t xml:space="preserve"> should s</w:t>
      </w:r>
      <w:r w:rsidRPr="00B71D1A">
        <w:t>upport configuration and indication of PRACH resources with lower periodicity</w:t>
      </w:r>
      <w:r>
        <w:t xml:space="preserve">. </w:t>
      </w:r>
      <w:r w:rsidRPr="00B71D1A">
        <w:t>E.g., every [1,2,5,10] ms</w:t>
      </w:r>
    </w:p>
    <w:p w14:paraId="6787115C" w14:textId="44421692" w:rsidR="00F871D6" w:rsidRDefault="00C1589B" w:rsidP="00F871D6">
      <w:pPr>
        <w:pStyle w:val="Heading2"/>
      </w:pPr>
      <w:r>
        <w:t>I</w:t>
      </w:r>
      <w:r w:rsidR="00F871D6">
        <w:t>mpact of LBT on RA procedure</w:t>
      </w:r>
    </w:p>
    <w:p w14:paraId="21B2C3E5" w14:textId="0741BA35" w:rsidR="00E73639" w:rsidRPr="00113A32" w:rsidRDefault="00076DF0" w:rsidP="00E73639">
      <w:pPr>
        <w:rPr>
          <w:lang w:eastAsia="ja-JP"/>
        </w:rPr>
      </w:pPr>
      <w:r w:rsidRPr="00113A32">
        <w:rPr>
          <w:lang w:eastAsia="ja-JP"/>
        </w:rPr>
        <w:t>Each transmission within the random access procedure is potentially being subject to LBT.</w:t>
      </w:r>
      <w:r w:rsidR="00E73639" w:rsidRPr="00113A32">
        <w:rPr>
          <w:lang w:eastAsia="ja-JP"/>
        </w:rPr>
        <w:t xml:space="preserve"> </w:t>
      </w:r>
      <w:r w:rsidR="00E73639" w:rsidRPr="00113A32">
        <w:rPr>
          <w:rFonts w:hint="eastAsia"/>
          <w:lang w:eastAsia="ja-JP"/>
        </w:rPr>
        <w:t xml:space="preserve">If the channel access procedure fails, the UE </w:t>
      </w:r>
      <w:r w:rsidR="00E73639" w:rsidRPr="00113A32">
        <w:rPr>
          <w:lang w:eastAsia="ja-JP"/>
        </w:rPr>
        <w:t xml:space="preserve">should not </w:t>
      </w:r>
      <w:r w:rsidR="00E73639" w:rsidRPr="00113A32">
        <w:rPr>
          <w:rFonts w:hint="eastAsia"/>
          <w:lang w:eastAsia="ja-JP"/>
        </w:rPr>
        <w:t>increment</w:t>
      </w:r>
      <w:r w:rsidR="00E73639" w:rsidRPr="00113A32">
        <w:rPr>
          <w:lang w:eastAsia="ja-JP"/>
        </w:rPr>
        <w:t xml:space="preserve"> the preamble transmission and power ramping counter. </w:t>
      </w:r>
    </w:p>
    <w:p w14:paraId="19E80B4A" w14:textId="357D4323" w:rsidR="00E73639" w:rsidRPr="00E73639" w:rsidRDefault="002B1341" w:rsidP="00113A32">
      <w:pPr>
        <w:pStyle w:val="Proposal"/>
      </w:pPr>
      <w:r w:rsidRPr="00E73639">
        <w:t>Preamble transmission and power ramping counter is not incremented if preamble is not transmitted due to LBT failure</w:t>
      </w:r>
      <w:r w:rsidR="00E73639">
        <w:t>.</w:t>
      </w:r>
    </w:p>
    <w:p w14:paraId="7F912FAF" w14:textId="22EE4DFB" w:rsidR="00E73639" w:rsidRDefault="0025226F" w:rsidP="0025226F">
      <w:pPr>
        <w:rPr>
          <w:lang w:val="en-US"/>
        </w:rPr>
      </w:pPr>
      <w:r>
        <w:rPr>
          <w:lang w:val="en-US"/>
        </w:rPr>
        <w:t>A</w:t>
      </w:r>
      <w:r w:rsidR="00E73639">
        <w:rPr>
          <w:lang w:val="en-US"/>
        </w:rPr>
        <w:t>fter successfully transmitting PRACH, the UE expects to receive the random access re</w:t>
      </w:r>
      <w:r w:rsidR="00141732">
        <w:rPr>
          <w:lang w:val="en-US"/>
        </w:rPr>
        <w:t xml:space="preserve">sponse (RAR) within a </w:t>
      </w:r>
      <w:r w:rsidR="00E2150E">
        <w:rPr>
          <w:lang w:val="en-US"/>
        </w:rPr>
        <w:t xml:space="preserve">RAR </w:t>
      </w:r>
      <w:r w:rsidR="00141732">
        <w:rPr>
          <w:lang w:val="en-US"/>
        </w:rPr>
        <w:t xml:space="preserve">time window, of which the start and end are configured by the eNB. </w:t>
      </w:r>
      <w:r w:rsidR="00E2150E">
        <w:rPr>
          <w:lang w:val="en-US"/>
        </w:rPr>
        <w:t>I</w:t>
      </w:r>
      <w:r w:rsidR="00141732">
        <w:rPr>
          <w:lang w:val="en-US"/>
        </w:rPr>
        <w:t xml:space="preserve">f the UE does not receive a RAR within the configured time window, it retransmits the preamble. Since the RAR is subject to LBT, the window duration should be more flexible and larger than the licensed carrier operation to account for possible LBT failure. </w:t>
      </w:r>
    </w:p>
    <w:p w14:paraId="4FBEEBF2" w14:textId="7F2993A4" w:rsidR="00F871D6" w:rsidRPr="00F871D6" w:rsidRDefault="00141732" w:rsidP="001C1DF9">
      <w:pPr>
        <w:pStyle w:val="Proposal"/>
      </w:pPr>
      <w:r w:rsidRPr="00141732">
        <w:t xml:space="preserve">RAR window should be large enough to account </w:t>
      </w:r>
      <w:r>
        <w:t>for possible LBT failure.</w:t>
      </w:r>
    </w:p>
    <w:p w14:paraId="52D1D604" w14:textId="77777777" w:rsidR="00F871D6" w:rsidRPr="00E35DBF" w:rsidRDefault="00F871D6" w:rsidP="0036684F"/>
    <w:p w14:paraId="445C15AF" w14:textId="2C21879F" w:rsidR="00C01F33" w:rsidRDefault="00C01F33" w:rsidP="00CE0424">
      <w:pPr>
        <w:pStyle w:val="Heading1"/>
      </w:pPr>
      <w:r w:rsidRPr="00CE0424">
        <w:t>Conclusion</w:t>
      </w:r>
    </w:p>
    <w:p w14:paraId="5E9992EA" w14:textId="188B0A4D" w:rsidR="002F59AC" w:rsidRPr="002F59AC" w:rsidRDefault="002F59AC" w:rsidP="002F59AC">
      <w:pPr>
        <w:spacing w:after="0"/>
        <w:jc w:val="left"/>
        <w:rPr>
          <w:bCs/>
        </w:rPr>
      </w:pPr>
      <w:r>
        <w:rPr>
          <w:bCs/>
        </w:rPr>
        <w:t xml:space="preserve">In this contribution we discuss our view on initial access procedure for NR-U and provide the following proposals: </w:t>
      </w:r>
    </w:p>
    <w:p w14:paraId="1D5C9E74" w14:textId="77777777" w:rsidR="001C1DF9" w:rsidRPr="001C1DF9" w:rsidRDefault="001C1DF9" w:rsidP="001C1DF9"/>
    <w:p w14:paraId="3BD1429B" w14:textId="00F6C152" w:rsidR="008E065E" w:rsidRPr="001C1DF9" w:rsidRDefault="001C1DF9" w:rsidP="001C1DF9">
      <w:pPr>
        <w:pStyle w:val="Proposal"/>
        <w:numPr>
          <w:ilvl w:val="0"/>
          <w:numId w:val="27"/>
        </w:numPr>
      </w:pPr>
      <w:r w:rsidRPr="00FA0A96">
        <w:t xml:space="preserve">Specify support for PRACH </w:t>
      </w:r>
      <w:r>
        <w:t>for</w:t>
      </w:r>
      <w:r w:rsidRPr="00FA0A96">
        <w:t xml:space="preserve"> both standalone and </w:t>
      </w:r>
      <w:r>
        <w:t>non-standalone</w:t>
      </w:r>
      <w:r w:rsidRPr="00FA0A96">
        <w:t xml:space="preserve"> NR-U. </w:t>
      </w:r>
    </w:p>
    <w:p w14:paraId="65F4FEB6" w14:textId="5CB059DB" w:rsidR="008E065E" w:rsidRPr="001C1DF9" w:rsidRDefault="001C1DF9" w:rsidP="001C1DF9">
      <w:pPr>
        <w:pStyle w:val="Proposal"/>
      </w:pPr>
      <w:r>
        <w:t>S</w:t>
      </w:r>
      <w:r w:rsidRPr="005E4B7F">
        <w:t xml:space="preserve">upport </w:t>
      </w:r>
      <w:r w:rsidRPr="00CC3122">
        <w:t>simplified RACH procedure consisting of two main steps</w:t>
      </w:r>
      <w:r>
        <w:t>.</w:t>
      </w:r>
    </w:p>
    <w:p w14:paraId="02DC741F" w14:textId="4D8FF90A" w:rsidR="00AB0BC8" w:rsidRPr="001C1DF9" w:rsidRDefault="001C1DF9" w:rsidP="001C1DF9">
      <w:pPr>
        <w:pStyle w:val="Proposal"/>
      </w:pPr>
      <w:r>
        <w:t>NR-U should support short PRACH sequence length</w:t>
      </w:r>
    </w:p>
    <w:p w14:paraId="0E94FFDB" w14:textId="77777777" w:rsidR="001C1DF9" w:rsidRDefault="001C1DF9" w:rsidP="001C1DF9">
      <w:pPr>
        <w:pStyle w:val="Proposal"/>
      </w:pPr>
      <w:r w:rsidRPr="00D87B62">
        <w:t xml:space="preserve">Need to support </w:t>
      </w:r>
      <w:r>
        <w:t>interlaced</w:t>
      </w:r>
      <w:r w:rsidRPr="00D87B62">
        <w:t xml:space="preserve"> PRACH</w:t>
      </w:r>
      <w:r>
        <w:t xml:space="preserve"> resource allocation </w:t>
      </w:r>
      <w:r w:rsidRPr="00D87B62">
        <w:t>for a UE</w:t>
      </w:r>
    </w:p>
    <w:p w14:paraId="5E5F813B" w14:textId="42C77A44" w:rsidR="00311702" w:rsidRPr="00CE0424" w:rsidRDefault="001C1DF9" w:rsidP="001C1DF9">
      <w:pPr>
        <w:pStyle w:val="Proposal"/>
      </w:pPr>
      <w:r>
        <w:t>For below 6GHz NR-U operation, n</w:t>
      </w:r>
      <w:r w:rsidRPr="004C4443">
        <w:t xml:space="preserve">umerology for RACH preamble </w:t>
      </w:r>
      <w:r>
        <w:t xml:space="preserve">should include 60KHz. </w:t>
      </w:r>
    </w:p>
    <w:p w14:paraId="6952C074" w14:textId="77777777" w:rsidR="006D0347" w:rsidRPr="00113A32" w:rsidRDefault="006D0347" w:rsidP="006D0347">
      <w:pPr>
        <w:pStyle w:val="Proposal"/>
      </w:pPr>
      <w:r>
        <w:t>NR-U should s</w:t>
      </w:r>
      <w:r w:rsidRPr="00B71D1A">
        <w:t>upport configuration and indication of PRACH resources with lower periodicity</w:t>
      </w:r>
      <w:r>
        <w:t xml:space="preserve">. </w:t>
      </w:r>
      <w:r w:rsidRPr="00B71D1A">
        <w:t>E.g., every [1,2,5,10] ms</w:t>
      </w:r>
    </w:p>
    <w:p w14:paraId="224D1A02" w14:textId="16642F6F" w:rsidR="001C1DF9" w:rsidRDefault="001C1DF9" w:rsidP="001C1DF9">
      <w:pPr>
        <w:pStyle w:val="Proposal"/>
      </w:pPr>
      <w:bookmarkStart w:id="11" w:name="_GoBack"/>
      <w:bookmarkEnd w:id="11"/>
      <w:r w:rsidRPr="00E73639">
        <w:t>Preamble transmission and power ramping counter is not incremented if preamble is not transmitted due to LBT failure</w:t>
      </w:r>
      <w:r>
        <w:t>.</w:t>
      </w:r>
    </w:p>
    <w:p w14:paraId="10EDA894" w14:textId="26ED6D14" w:rsidR="00C01F33" w:rsidRPr="00CE0424" w:rsidRDefault="001C1DF9" w:rsidP="002F59AC">
      <w:pPr>
        <w:pStyle w:val="Proposal"/>
      </w:pPr>
      <w:r w:rsidRPr="00141732">
        <w:t xml:space="preserve">RAR window should be large enough to account </w:t>
      </w:r>
      <w:r>
        <w:t>for possible LBT failure.</w:t>
      </w:r>
    </w:p>
    <w:p w14:paraId="0868EEB7" w14:textId="77777777" w:rsidR="00F507D1" w:rsidRPr="00CE0424" w:rsidRDefault="00F507D1" w:rsidP="00CE0424">
      <w:pPr>
        <w:pStyle w:val="Heading1"/>
      </w:pPr>
      <w:bookmarkStart w:id="12" w:name="_In-sequence_SDU_delivery"/>
      <w:bookmarkEnd w:id="12"/>
      <w:r w:rsidRPr="00CE0424">
        <w:lastRenderedPageBreak/>
        <w:t>References</w:t>
      </w:r>
    </w:p>
    <w:p w14:paraId="42840F29" w14:textId="3AFA0E10" w:rsidR="002B272F" w:rsidRPr="002B272F" w:rsidRDefault="002B272F" w:rsidP="002B272F">
      <w:pPr>
        <w:pStyle w:val="BodyText"/>
        <w:overflowPunct/>
        <w:autoSpaceDE/>
        <w:autoSpaceDN/>
        <w:adjustRightInd/>
        <w:textAlignment w:val="auto"/>
        <w:rPr>
          <w:szCs w:val="22"/>
          <w:lang w:eastAsia="ja-JP"/>
        </w:rPr>
      </w:pPr>
      <w:bookmarkStart w:id="13" w:name="_Ref479756368"/>
      <w:bookmarkStart w:id="14" w:name="_Ref481486326"/>
      <w:r>
        <w:t xml:space="preserve">[1] </w:t>
      </w:r>
      <w:r>
        <w:tab/>
        <w:t>RP-170828, “</w:t>
      </w:r>
      <w:r w:rsidRPr="0024305A">
        <w:t>New SID on NR-based Access to Unlicensed Spectrum</w:t>
      </w:r>
      <w:r>
        <w:t>”, Qualcomm</w:t>
      </w:r>
      <w:bookmarkEnd w:id="13"/>
      <w:r>
        <w:t>.</w:t>
      </w:r>
      <w:bookmarkEnd w:id="14"/>
    </w:p>
    <w:p w14:paraId="0D4F189E" w14:textId="7796E395" w:rsidR="003A7EF3" w:rsidRPr="002B272F" w:rsidRDefault="00FA6B27" w:rsidP="00CE0424">
      <w:pPr>
        <w:pStyle w:val="BodyText"/>
      </w:pPr>
      <w:r>
        <w:t>[</w:t>
      </w:r>
      <w:r w:rsidR="002B272F">
        <w:t>2</w:t>
      </w:r>
      <w:r>
        <w:t>]</w:t>
      </w:r>
      <w:r w:rsidR="002B272F">
        <w:tab/>
      </w:r>
      <w:r w:rsidR="00256C48" w:rsidRPr="00256C48">
        <w:t>R1-1802781</w:t>
      </w:r>
      <w:r>
        <w:t xml:space="preserve">, </w:t>
      </w:r>
      <w:r w:rsidRPr="002B272F">
        <w:t>Numerology for NR operation in unlicensed spectrum, Ericsson</w:t>
      </w:r>
    </w:p>
    <w:p w14:paraId="68A8C788" w14:textId="33DC3F92" w:rsidR="002B272F" w:rsidRDefault="002B272F" w:rsidP="002B272F">
      <w:pPr>
        <w:pStyle w:val="BodyText"/>
        <w:rPr>
          <w:lang w:val="en-US" w:eastAsia="en-US"/>
        </w:rPr>
      </w:pPr>
    </w:p>
    <w:p w14:paraId="4C9369B0" w14:textId="77777777" w:rsidR="00FA6B27" w:rsidRPr="002B272F" w:rsidRDefault="00FA6B27" w:rsidP="00CE0424">
      <w:pPr>
        <w:pStyle w:val="BodyText"/>
        <w:rPr>
          <w:lang w:val="en-US"/>
        </w:rPr>
      </w:pPr>
    </w:p>
    <w:sectPr w:rsidR="00FA6B27" w:rsidRPr="002B27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1DFFC" w14:textId="77777777" w:rsidR="00BF4E75" w:rsidRDefault="00BF4E75">
      <w:r>
        <w:separator/>
      </w:r>
    </w:p>
  </w:endnote>
  <w:endnote w:type="continuationSeparator" w:id="0">
    <w:p w14:paraId="0AEBDC55" w14:textId="77777777" w:rsidR="00BF4E75" w:rsidRDefault="00BF4E75">
      <w:r>
        <w:continuationSeparator/>
      </w:r>
    </w:p>
  </w:endnote>
  <w:endnote w:type="continuationNotice" w:id="1">
    <w:p w14:paraId="13969518" w14:textId="77777777" w:rsidR="00BF4E75" w:rsidRDefault="00BF4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FA1F0" w14:textId="52BE9702" w:rsidR="0024771F" w:rsidRDefault="002477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777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777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76172" w14:textId="77777777" w:rsidR="00BF4E75" w:rsidRDefault="00BF4E75">
      <w:r>
        <w:separator/>
      </w:r>
    </w:p>
  </w:footnote>
  <w:footnote w:type="continuationSeparator" w:id="0">
    <w:p w14:paraId="39E89170" w14:textId="77777777" w:rsidR="00BF4E75" w:rsidRDefault="00BF4E75">
      <w:r>
        <w:continuationSeparator/>
      </w:r>
    </w:p>
  </w:footnote>
  <w:footnote w:type="continuationNotice" w:id="1">
    <w:p w14:paraId="32C054ED" w14:textId="77777777" w:rsidR="00BF4E75" w:rsidRDefault="00BF4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800" w14:textId="77777777" w:rsidR="0024771F" w:rsidRDefault="002477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DA407A"/>
    <w:multiLevelType w:val="hybridMultilevel"/>
    <w:tmpl w:val="845C37BC"/>
    <w:lvl w:ilvl="0" w:tplc="A2B2F75C">
      <w:start w:val="1"/>
      <w:numFmt w:val="bullet"/>
      <w:lvlText w:val="›"/>
      <w:lvlJc w:val="left"/>
      <w:pPr>
        <w:tabs>
          <w:tab w:val="num" w:pos="720"/>
        </w:tabs>
        <w:ind w:left="720" w:hanging="360"/>
      </w:pPr>
      <w:rPr>
        <w:rFonts w:ascii="Arial" w:hAnsi="Arial" w:hint="default"/>
      </w:rPr>
    </w:lvl>
    <w:lvl w:ilvl="1" w:tplc="17D489D2" w:tentative="1">
      <w:start w:val="1"/>
      <w:numFmt w:val="bullet"/>
      <w:lvlText w:val="›"/>
      <w:lvlJc w:val="left"/>
      <w:pPr>
        <w:tabs>
          <w:tab w:val="num" w:pos="1440"/>
        </w:tabs>
        <w:ind w:left="1440" w:hanging="360"/>
      </w:pPr>
      <w:rPr>
        <w:rFonts w:ascii="Arial" w:hAnsi="Arial" w:hint="default"/>
      </w:rPr>
    </w:lvl>
    <w:lvl w:ilvl="2" w:tplc="CAAE3280" w:tentative="1">
      <w:start w:val="1"/>
      <w:numFmt w:val="bullet"/>
      <w:lvlText w:val="›"/>
      <w:lvlJc w:val="left"/>
      <w:pPr>
        <w:tabs>
          <w:tab w:val="num" w:pos="2160"/>
        </w:tabs>
        <w:ind w:left="2160" w:hanging="360"/>
      </w:pPr>
      <w:rPr>
        <w:rFonts w:ascii="Arial" w:hAnsi="Arial" w:hint="default"/>
      </w:rPr>
    </w:lvl>
    <w:lvl w:ilvl="3" w:tplc="AD5E6274" w:tentative="1">
      <w:start w:val="1"/>
      <w:numFmt w:val="bullet"/>
      <w:lvlText w:val="›"/>
      <w:lvlJc w:val="left"/>
      <w:pPr>
        <w:tabs>
          <w:tab w:val="num" w:pos="2880"/>
        </w:tabs>
        <w:ind w:left="2880" w:hanging="360"/>
      </w:pPr>
      <w:rPr>
        <w:rFonts w:ascii="Arial" w:hAnsi="Arial" w:hint="default"/>
      </w:rPr>
    </w:lvl>
    <w:lvl w:ilvl="4" w:tplc="5046FC4A" w:tentative="1">
      <w:start w:val="1"/>
      <w:numFmt w:val="bullet"/>
      <w:lvlText w:val="›"/>
      <w:lvlJc w:val="left"/>
      <w:pPr>
        <w:tabs>
          <w:tab w:val="num" w:pos="3600"/>
        </w:tabs>
        <w:ind w:left="3600" w:hanging="360"/>
      </w:pPr>
      <w:rPr>
        <w:rFonts w:ascii="Arial" w:hAnsi="Arial" w:hint="default"/>
      </w:rPr>
    </w:lvl>
    <w:lvl w:ilvl="5" w:tplc="4AE811A2" w:tentative="1">
      <w:start w:val="1"/>
      <w:numFmt w:val="bullet"/>
      <w:lvlText w:val="›"/>
      <w:lvlJc w:val="left"/>
      <w:pPr>
        <w:tabs>
          <w:tab w:val="num" w:pos="4320"/>
        </w:tabs>
        <w:ind w:left="4320" w:hanging="360"/>
      </w:pPr>
      <w:rPr>
        <w:rFonts w:ascii="Arial" w:hAnsi="Arial" w:hint="default"/>
      </w:rPr>
    </w:lvl>
    <w:lvl w:ilvl="6" w:tplc="D632F73E" w:tentative="1">
      <w:start w:val="1"/>
      <w:numFmt w:val="bullet"/>
      <w:lvlText w:val="›"/>
      <w:lvlJc w:val="left"/>
      <w:pPr>
        <w:tabs>
          <w:tab w:val="num" w:pos="5040"/>
        </w:tabs>
        <w:ind w:left="5040" w:hanging="360"/>
      </w:pPr>
      <w:rPr>
        <w:rFonts w:ascii="Arial" w:hAnsi="Arial" w:hint="default"/>
      </w:rPr>
    </w:lvl>
    <w:lvl w:ilvl="7" w:tplc="A9B4F220" w:tentative="1">
      <w:start w:val="1"/>
      <w:numFmt w:val="bullet"/>
      <w:lvlText w:val="›"/>
      <w:lvlJc w:val="left"/>
      <w:pPr>
        <w:tabs>
          <w:tab w:val="num" w:pos="5760"/>
        </w:tabs>
        <w:ind w:left="5760" w:hanging="360"/>
      </w:pPr>
      <w:rPr>
        <w:rFonts w:ascii="Arial" w:hAnsi="Arial" w:hint="default"/>
      </w:rPr>
    </w:lvl>
    <w:lvl w:ilvl="8" w:tplc="371E05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7459F2"/>
    <w:multiLevelType w:val="hybridMultilevel"/>
    <w:tmpl w:val="F8C8A942"/>
    <w:lvl w:ilvl="0" w:tplc="04090001">
      <w:start w:val="1"/>
      <w:numFmt w:val="bullet"/>
      <w:lvlText w:val=""/>
      <w:lvlJc w:val="left"/>
      <w:pPr>
        <w:ind w:left="720" w:hanging="360"/>
      </w:pPr>
      <w:rPr>
        <w:rFonts w:ascii="Symbol" w:hAnsi="Symbol" w:hint="default"/>
      </w:rPr>
    </w:lvl>
    <w:lvl w:ilvl="1" w:tplc="CA22F95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C501A3A"/>
    <w:multiLevelType w:val="hybridMultilevel"/>
    <w:tmpl w:val="A83471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18"/>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5"/>
  </w:num>
  <w:num w:numId="14">
    <w:abstractNumId w:val="6"/>
  </w:num>
  <w:num w:numId="15">
    <w:abstractNumId w:val="12"/>
  </w:num>
  <w:num w:numId="16">
    <w:abstractNumId w:val="26"/>
  </w:num>
  <w:num w:numId="17">
    <w:abstractNumId w:val="7"/>
  </w:num>
  <w:num w:numId="18">
    <w:abstractNumId w:val="9"/>
  </w:num>
  <w:num w:numId="19">
    <w:abstractNumId w:val="3"/>
  </w:num>
  <w:num w:numId="20">
    <w:abstractNumId w:val="2"/>
  </w:num>
  <w:num w:numId="21">
    <w:abstractNumId w:val="1"/>
  </w:num>
  <w:num w:numId="22">
    <w:abstractNumId w:val="0"/>
  </w:num>
  <w:num w:numId="23">
    <w:abstractNumId w:val="23"/>
  </w:num>
  <w:num w:numId="24">
    <w:abstractNumId w:val="21"/>
  </w:num>
  <w:num w:numId="25">
    <w:abstractNumId w:val="22"/>
  </w:num>
  <w:num w:numId="26">
    <w:abstractNumId w:val="14"/>
  </w:num>
  <w:num w:numId="27">
    <w:abstractNumId w:val="12"/>
    <w:lvlOverride w:ilvl="0">
      <w:startOverride w:val="1"/>
    </w:lvlOverride>
  </w:num>
  <w:num w:numId="28">
    <w:abstractNumId w:val="8"/>
  </w:num>
  <w:num w:numId="2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4B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DF0"/>
    <w:rsid w:val="00077E5F"/>
    <w:rsid w:val="0008036A"/>
    <w:rsid w:val="00081AE6"/>
    <w:rsid w:val="00082168"/>
    <w:rsid w:val="000855EB"/>
    <w:rsid w:val="00085B52"/>
    <w:rsid w:val="000866F2"/>
    <w:rsid w:val="0009009F"/>
    <w:rsid w:val="00091557"/>
    <w:rsid w:val="000924C1"/>
    <w:rsid w:val="000924F0"/>
    <w:rsid w:val="00093474"/>
    <w:rsid w:val="0009510F"/>
    <w:rsid w:val="00096671"/>
    <w:rsid w:val="000A1B7B"/>
    <w:rsid w:val="000A56F2"/>
    <w:rsid w:val="000B2719"/>
    <w:rsid w:val="000B3A8F"/>
    <w:rsid w:val="000B4AB9"/>
    <w:rsid w:val="000B58C3"/>
    <w:rsid w:val="000B61E9"/>
    <w:rsid w:val="000B7BF7"/>
    <w:rsid w:val="000C165A"/>
    <w:rsid w:val="000C2E19"/>
    <w:rsid w:val="000D0D07"/>
    <w:rsid w:val="000D127F"/>
    <w:rsid w:val="000D4797"/>
    <w:rsid w:val="000E0527"/>
    <w:rsid w:val="000E1E92"/>
    <w:rsid w:val="000F06D6"/>
    <w:rsid w:val="000F0EB1"/>
    <w:rsid w:val="000F1106"/>
    <w:rsid w:val="000F3BE9"/>
    <w:rsid w:val="000F3F6C"/>
    <w:rsid w:val="000F6DF3"/>
    <w:rsid w:val="001005FF"/>
    <w:rsid w:val="001034B0"/>
    <w:rsid w:val="001062FB"/>
    <w:rsid w:val="001063E6"/>
    <w:rsid w:val="00113A32"/>
    <w:rsid w:val="00113CF4"/>
    <w:rsid w:val="001153EA"/>
    <w:rsid w:val="00115643"/>
    <w:rsid w:val="00116765"/>
    <w:rsid w:val="001219F5"/>
    <w:rsid w:val="00121A20"/>
    <w:rsid w:val="0012377F"/>
    <w:rsid w:val="00124314"/>
    <w:rsid w:val="00126B4A"/>
    <w:rsid w:val="00130BEE"/>
    <w:rsid w:val="00132FD0"/>
    <w:rsid w:val="001344C0"/>
    <w:rsid w:val="001346FA"/>
    <w:rsid w:val="00135252"/>
    <w:rsid w:val="00137AB5"/>
    <w:rsid w:val="00137F0B"/>
    <w:rsid w:val="00141732"/>
    <w:rsid w:val="00151E23"/>
    <w:rsid w:val="001526E0"/>
    <w:rsid w:val="001551B5"/>
    <w:rsid w:val="001659C1"/>
    <w:rsid w:val="00165D06"/>
    <w:rsid w:val="00173A8E"/>
    <w:rsid w:val="00177795"/>
    <w:rsid w:val="0018143F"/>
    <w:rsid w:val="00184FB2"/>
    <w:rsid w:val="00190AC1"/>
    <w:rsid w:val="0019341A"/>
    <w:rsid w:val="00195D65"/>
    <w:rsid w:val="00197DF9"/>
    <w:rsid w:val="001A1987"/>
    <w:rsid w:val="001A2564"/>
    <w:rsid w:val="001A6173"/>
    <w:rsid w:val="001A6CBA"/>
    <w:rsid w:val="001B0D97"/>
    <w:rsid w:val="001B5A5D"/>
    <w:rsid w:val="001C1CE5"/>
    <w:rsid w:val="001C1DF9"/>
    <w:rsid w:val="001C3D2A"/>
    <w:rsid w:val="001D4731"/>
    <w:rsid w:val="001D51BA"/>
    <w:rsid w:val="001D6342"/>
    <w:rsid w:val="001D6D53"/>
    <w:rsid w:val="001E58E2"/>
    <w:rsid w:val="001E7AED"/>
    <w:rsid w:val="001F3916"/>
    <w:rsid w:val="001F54C5"/>
    <w:rsid w:val="001F662C"/>
    <w:rsid w:val="001F7074"/>
    <w:rsid w:val="00200490"/>
    <w:rsid w:val="00201F3A"/>
    <w:rsid w:val="00203F96"/>
    <w:rsid w:val="00205E8C"/>
    <w:rsid w:val="002069B2"/>
    <w:rsid w:val="00207FA3"/>
    <w:rsid w:val="00214DA8"/>
    <w:rsid w:val="00215423"/>
    <w:rsid w:val="002158FA"/>
    <w:rsid w:val="00220600"/>
    <w:rsid w:val="002224DB"/>
    <w:rsid w:val="00223FCB"/>
    <w:rsid w:val="002242B7"/>
    <w:rsid w:val="002252C3"/>
    <w:rsid w:val="00225C54"/>
    <w:rsid w:val="00230765"/>
    <w:rsid w:val="002319E4"/>
    <w:rsid w:val="00235632"/>
    <w:rsid w:val="00235872"/>
    <w:rsid w:val="00236479"/>
    <w:rsid w:val="00241559"/>
    <w:rsid w:val="002435B3"/>
    <w:rsid w:val="002458EB"/>
    <w:rsid w:val="0024771F"/>
    <w:rsid w:val="002500C8"/>
    <w:rsid w:val="0025226F"/>
    <w:rsid w:val="00256492"/>
    <w:rsid w:val="00256C48"/>
    <w:rsid w:val="00257543"/>
    <w:rsid w:val="002617E7"/>
    <w:rsid w:val="002630C3"/>
    <w:rsid w:val="00264228"/>
    <w:rsid w:val="00264334"/>
    <w:rsid w:val="0026473E"/>
    <w:rsid w:val="002656D4"/>
    <w:rsid w:val="00266214"/>
    <w:rsid w:val="00267C83"/>
    <w:rsid w:val="0027144F"/>
    <w:rsid w:val="00271F3A"/>
    <w:rsid w:val="00273278"/>
    <w:rsid w:val="002737F4"/>
    <w:rsid w:val="0027485C"/>
    <w:rsid w:val="002805F5"/>
    <w:rsid w:val="00280751"/>
    <w:rsid w:val="0028280A"/>
    <w:rsid w:val="00286ACD"/>
    <w:rsid w:val="00287838"/>
    <w:rsid w:val="002907B5"/>
    <w:rsid w:val="00292EB7"/>
    <w:rsid w:val="00296227"/>
    <w:rsid w:val="00296F44"/>
    <w:rsid w:val="0029777D"/>
    <w:rsid w:val="002A055E"/>
    <w:rsid w:val="002A1D4E"/>
    <w:rsid w:val="002A2869"/>
    <w:rsid w:val="002A4424"/>
    <w:rsid w:val="002B1341"/>
    <w:rsid w:val="002B24D6"/>
    <w:rsid w:val="002B272F"/>
    <w:rsid w:val="002C41E6"/>
    <w:rsid w:val="002D071A"/>
    <w:rsid w:val="002D34B2"/>
    <w:rsid w:val="002D7637"/>
    <w:rsid w:val="002E17F2"/>
    <w:rsid w:val="002E7CAE"/>
    <w:rsid w:val="002F2771"/>
    <w:rsid w:val="002F37A9"/>
    <w:rsid w:val="002F422E"/>
    <w:rsid w:val="002F59AC"/>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64F"/>
    <w:rsid w:val="0036684F"/>
    <w:rsid w:val="00370E47"/>
    <w:rsid w:val="003742AC"/>
    <w:rsid w:val="00375CFA"/>
    <w:rsid w:val="00377CE1"/>
    <w:rsid w:val="00385BF0"/>
    <w:rsid w:val="003939FF"/>
    <w:rsid w:val="00397FA6"/>
    <w:rsid w:val="003A2223"/>
    <w:rsid w:val="003A2A0F"/>
    <w:rsid w:val="003A45A1"/>
    <w:rsid w:val="003A5B0A"/>
    <w:rsid w:val="003A6BAC"/>
    <w:rsid w:val="003A7A70"/>
    <w:rsid w:val="003A7EF3"/>
    <w:rsid w:val="003B159C"/>
    <w:rsid w:val="003B369F"/>
    <w:rsid w:val="003B36A3"/>
    <w:rsid w:val="003B460B"/>
    <w:rsid w:val="003B7FE5"/>
    <w:rsid w:val="003C11C8"/>
    <w:rsid w:val="003C2702"/>
    <w:rsid w:val="003C7806"/>
    <w:rsid w:val="003D0E7D"/>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78F"/>
    <w:rsid w:val="00407CD3"/>
    <w:rsid w:val="00410134"/>
    <w:rsid w:val="00410B72"/>
    <w:rsid w:val="00410F18"/>
    <w:rsid w:val="0041263E"/>
    <w:rsid w:val="00413AAC"/>
    <w:rsid w:val="00421105"/>
    <w:rsid w:val="004242F4"/>
    <w:rsid w:val="00427248"/>
    <w:rsid w:val="00437447"/>
    <w:rsid w:val="00440C95"/>
    <w:rsid w:val="00441A92"/>
    <w:rsid w:val="00444F56"/>
    <w:rsid w:val="00446488"/>
    <w:rsid w:val="004517AA"/>
    <w:rsid w:val="00452CAC"/>
    <w:rsid w:val="00457565"/>
    <w:rsid w:val="00457B71"/>
    <w:rsid w:val="004669E2"/>
    <w:rsid w:val="00470C31"/>
    <w:rsid w:val="00470E5F"/>
    <w:rsid w:val="004734D0"/>
    <w:rsid w:val="0047556B"/>
    <w:rsid w:val="00477768"/>
    <w:rsid w:val="00492BC5"/>
    <w:rsid w:val="004964F1"/>
    <w:rsid w:val="004A16BC"/>
    <w:rsid w:val="004A2B94"/>
    <w:rsid w:val="004B7C0C"/>
    <w:rsid w:val="004C2DB9"/>
    <w:rsid w:val="004C3898"/>
    <w:rsid w:val="004C4443"/>
    <w:rsid w:val="004D127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2FA"/>
    <w:rsid w:val="005116F9"/>
    <w:rsid w:val="005153A7"/>
    <w:rsid w:val="00517807"/>
    <w:rsid w:val="005219CF"/>
    <w:rsid w:val="00534B59"/>
    <w:rsid w:val="00536759"/>
    <w:rsid w:val="00537C62"/>
    <w:rsid w:val="00546970"/>
    <w:rsid w:val="00551193"/>
    <w:rsid w:val="00554E19"/>
    <w:rsid w:val="0056121F"/>
    <w:rsid w:val="00567498"/>
    <w:rsid w:val="0057039F"/>
    <w:rsid w:val="00572505"/>
    <w:rsid w:val="00573342"/>
    <w:rsid w:val="00582809"/>
    <w:rsid w:val="0058798C"/>
    <w:rsid w:val="005900FA"/>
    <w:rsid w:val="005935A4"/>
    <w:rsid w:val="00593CE7"/>
    <w:rsid w:val="005948C2"/>
    <w:rsid w:val="00595DCA"/>
    <w:rsid w:val="0059779B"/>
    <w:rsid w:val="005A209A"/>
    <w:rsid w:val="005A630D"/>
    <w:rsid w:val="005A662D"/>
    <w:rsid w:val="005B35D7"/>
    <w:rsid w:val="005B392A"/>
    <w:rsid w:val="005B3AA3"/>
    <w:rsid w:val="005B591A"/>
    <w:rsid w:val="005B6F83"/>
    <w:rsid w:val="005C28E9"/>
    <w:rsid w:val="005C74FB"/>
    <w:rsid w:val="005D1602"/>
    <w:rsid w:val="005E385F"/>
    <w:rsid w:val="005E4B7F"/>
    <w:rsid w:val="005E5B81"/>
    <w:rsid w:val="005F2CB1"/>
    <w:rsid w:val="005F3025"/>
    <w:rsid w:val="005F319C"/>
    <w:rsid w:val="005F618C"/>
    <w:rsid w:val="005F70BD"/>
    <w:rsid w:val="0060283C"/>
    <w:rsid w:val="00604F14"/>
    <w:rsid w:val="0060714B"/>
    <w:rsid w:val="00611B83"/>
    <w:rsid w:val="00613257"/>
    <w:rsid w:val="0061635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C11"/>
    <w:rsid w:val="006741F2"/>
    <w:rsid w:val="00674CC3"/>
    <w:rsid w:val="00675C72"/>
    <w:rsid w:val="006771F9"/>
    <w:rsid w:val="006776D7"/>
    <w:rsid w:val="00681003"/>
    <w:rsid w:val="006817C9"/>
    <w:rsid w:val="00683ECE"/>
    <w:rsid w:val="00687DD5"/>
    <w:rsid w:val="00695FC2"/>
    <w:rsid w:val="00696949"/>
    <w:rsid w:val="00697052"/>
    <w:rsid w:val="006A46FB"/>
    <w:rsid w:val="006A5E28"/>
    <w:rsid w:val="006A697B"/>
    <w:rsid w:val="006A7AFF"/>
    <w:rsid w:val="006B1816"/>
    <w:rsid w:val="006B2099"/>
    <w:rsid w:val="006B50CF"/>
    <w:rsid w:val="006C03B8"/>
    <w:rsid w:val="006C4935"/>
    <w:rsid w:val="006C5EC9"/>
    <w:rsid w:val="006C6059"/>
    <w:rsid w:val="006C7522"/>
    <w:rsid w:val="006D034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9E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234"/>
    <w:rsid w:val="00776971"/>
    <w:rsid w:val="00777177"/>
    <w:rsid w:val="0078177E"/>
    <w:rsid w:val="0078304C"/>
    <w:rsid w:val="00783673"/>
    <w:rsid w:val="00785490"/>
    <w:rsid w:val="007857E2"/>
    <w:rsid w:val="007925EA"/>
    <w:rsid w:val="00793CD8"/>
    <w:rsid w:val="00795C92"/>
    <w:rsid w:val="00796231"/>
    <w:rsid w:val="007A1CB3"/>
    <w:rsid w:val="007A306F"/>
    <w:rsid w:val="007A43A6"/>
    <w:rsid w:val="007A58A6"/>
    <w:rsid w:val="007B0B11"/>
    <w:rsid w:val="007B39E3"/>
    <w:rsid w:val="007B3D2D"/>
    <w:rsid w:val="007B4A51"/>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CE2"/>
    <w:rsid w:val="00803FAE"/>
    <w:rsid w:val="0080605F"/>
    <w:rsid w:val="00807786"/>
    <w:rsid w:val="00811FCB"/>
    <w:rsid w:val="008158D6"/>
    <w:rsid w:val="00817196"/>
    <w:rsid w:val="008235DB"/>
    <w:rsid w:val="00824AB4"/>
    <w:rsid w:val="00825C42"/>
    <w:rsid w:val="00825D25"/>
    <w:rsid w:val="00827770"/>
    <w:rsid w:val="00827D6F"/>
    <w:rsid w:val="00834311"/>
    <w:rsid w:val="008376AC"/>
    <w:rsid w:val="008444E8"/>
    <w:rsid w:val="00844E80"/>
    <w:rsid w:val="00846FE7"/>
    <w:rsid w:val="00854F97"/>
    <w:rsid w:val="00856911"/>
    <w:rsid w:val="0086509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F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8C7"/>
    <w:rsid w:val="00990630"/>
    <w:rsid w:val="00991761"/>
    <w:rsid w:val="00994DCA"/>
    <w:rsid w:val="009960EC"/>
    <w:rsid w:val="009970DD"/>
    <w:rsid w:val="009A0FBA"/>
    <w:rsid w:val="009A1601"/>
    <w:rsid w:val="009A462D"/>
    <w:rsid w:val="009A5CBA"/>
    <w:rsid w:val="009A7DBE"/>
    <w:rsid w:val="009B0840"/>
    <w:rsid w:val="009B1F30"/>
    <w:rsid w:val="009B3AC2"/>
    <w:rsid w:val="009B4DF4"/>
    <w:rsid w:val="009B564E"/>
    <w:rsid w:val="009B7E87"/>
    <w:rsid w:val="009C403E"/>
    <w:rsid w:val="009C6BD9"/>
    <w:rsid w:val="009D02B1"/>
    <w:rsid w:val="009D4FF0"/>
    <w:rsid w:val="009D564B"/>
    <w:rsid w:val="009D703C"/>
    <w:rsid w:val="009D718F"/>
    <w:rsid w:val="009D7414"/>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14E"/>
    <w:rsid w:val="00A92879"/>
    <w:rsid w:val="00A9442A"/>
    <w:rsid w:val="00AA016F"/>
    <w:rsid w:val="00AA1ED6"/>
    <w:rsid w:val="00AA3BD3"/>
    <w:rsid w:val="00AA51D6"/>
    <w:rsid w:val="00AB0BC8"/>
    <w:rsid w:val="00AB11CA"/>
    <w:rsid w:val="00AB14D9"/>
    <w:rsid w:val="00AB4AB8"/>
    <w:rsid w:val="00AB655E"/>
    <w:rsid w:val="00AC007F"/>
    <w:rsid w:val="00AC2C2A"/>
    <w:rsid w:val="00AC2ECD"/>
    <w:rsid w:val="00AC3119"/>
    <w:rsid w:val="00AC49FB"/>
    <w:rsid w:val="00AC5A10"/>
    <w:rsid w:val="00AD0AA3"/>
    <w:rsid w:val="00AD3F94"/>
    <w:rsid w:val="00AD4A5A"/>
    <w:rsid w:val="00AE10EA"/>
    <w:rsid w:val="00AE27AC"/>
    <w:rsid w:val="00AE3743"/>
    <w:rsid w:val="00AE40E0"/>
    <w:rsid w:val="00AE4DBA"/>
    <w:rsid w:val="00AE4F07"/>
    <w:rsid w:val="00AF1C5D"/>
    <w:rsid w:val="00AF2149"/>
    <w:rsid w:val="00AF42D7"/>
    <w:rsid w:val="00B006FE"/>
    <w:rsid w:val="00B007CB"/>
    <w:rsid w:val="00B02AA9"/>
    <w:rsid w:val="00B02FA3"/>
    <w:rsid w:val="00B05084"/>
    <w:rsid w:val="00B157F9"/>
    <w:rsid w:val="00B20256"/>
    <w:rsid w:val="00B20D09"/>
    <w:rsid w:val="00B2763F"/>
    <w:rsid w:val="00B27AAC"/>
    <w:rsid w:val="00B27AE9"/>
    <w:rsid w:val="00B30929"/>
    <w:rsid w:val="00B372AA"/>
    <w:rsid w:val="00B40445"/>
    <w:rsid w:val="00B41888"/>
    <w:rsid w:val="00B45A52"/>
    <w:rsid w:val="00B46175"/>
    <w:rsid w:val="00B56BF8"/>
    <w:rsid w:val="00B6188F"/>
    <w:rsid w:val="00B64FCF"/>
    <w:rsid w:val="00B664C7"/>
    <w:rsid w:val="00B71D1A"/>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E75"/>
    <w:rsid w:val="00BF74C7"/>
    <w:rsid w:val="00C015F1"/>
    <w:rsid w:val="00C01F33"/>
    <w:rsid w:val="00C02CC6"/>
    <w:rsid w:val="00C040F7"/>
    <w:rsid w:val="00C041B0"/>
    <w:rsid w:val="00C044AB"/>
    <w:rsid w:val="00C05706"/>
    <w:rsid w:val="00C07377"/>
    <w:rsid w:val="00C10478"/>
    <w:rsid w:val="00C12107"/>
    <w:rsid w:val="00C14D4B"/>
    <w:rsid w:val="00C154BB"/>
    <w:rsid w:val="00C1589B"/>
    <w:rsid w:val="00C23D99"/>
    <w:rsid w:val="00C24345"/>
    <w:rsid w:val="00C26396"/>
    <w:rsid w:val="00C279B5"/>
    <w:rsid w:val="00C27C45"/>
    <w:rsid w:val="00C3719D"/>
    <w:rsid w:val="00C47F6F"/>
    <w:rsid w:val="00C5284B"/>
    <w:rsid w:val="00C54995"/>
    <w:rsid w:val="00C54D41"/>
    <w:rsid w:val="00C60783"/>
    <w:rsid w:val="00C64672"/>
    <w:rsid w:val="00C70697"/>
    <w:rsid w:val="00C72EF4"/>
    <w:rsid w:val="00C746EA"/>
    <w:rsid w:val="00C75D2F"/>
    <w:rsid w:val="00C767BE"/>
    <w:rsid w:val="00C76E3C"/>
    <w:rsid w:val="00C81568"/>
    <w:rsid w:val="00C9027A"/>
    <w:rsid w:val="00C9068E"/>
    <w:rsid w:val="00C93C4B"/>
    <w:rsid w:val="00C944AB"/>
    <w:rsid w:val="00C95B40"/>
    <w:rsid w:val="00C976AE"/>
    <w:rsid w:val="00CA00A2"/>
    <w:rsid w:val="00CA1ED8"/>
    <w:rsid w:val="00CB1F63"/>
    <w:rsid w:val="00CB7170"/>
    <w:rsid w:val="00CC040E"/>
    <w:rsid w:val="00CC111F"/>
    <w:rsid w:val="00CC2011"/>
    <w:rsid w:val="00CC3122"/>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E65"/>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B62"/>
    <w:rsid w:val="00D9196D"/>
    <w:rsid w:val="00D92982"/>
    <w:rsid w:val="00DA305E"/>
    <w:rsid w:val="00DA5417"/>
    <w:rsid w:val="00DA56E8"/>
    <w:rsid w:val="00DB0A9F"/>
    <w:rsid w:val="00DB377D"/>
    <w:rsid w:val="00DC2D36"/>
    <w:rsid w:val="00DC53EF"/>
    <w:rsid w:val="00DE1974"/>
    <w:rsid w:val="00DE5608"/>
    <w:rsid w:val="00DE58D0"/>
    <w:rsid w:val="00DE654F"/>
    <w:rsid w:val="00DF03DA"/>
    <w:rsid w:val="00DF0B6E"/>
    <w:rsid w:val="00DF15E0"/>
    <w:rsid w:val="00DF37A0"/>
    <w:rsid w:val="00E03DAD"/>
    <w:rsid w:val="00E110E7"/>
    <w:rsid w:val="00E11B20"/>
    <w:rsid w:val="00E1375B"/>
    <w:rsid w:val="00E17FA2"/>
    <w:rsid w:val="00E2150E"/>
    <w:rsid w:val="00E22330"/>
    <w:rsid w:val="00E30B5A"/>
    <w:rsid w:val="00E3123D"/>
    <w:rsid w:val="00E31461"/>
    <w:rsid w:val="00E31D43"/>
    <w:rsid w:val="00E32608"/>
    <w:rsid w:val="00E34188"/>
    <w:rsid w:val="00E34B6E"/>
    <w:rsid w:val="00E35559"/>
    <w:rsid w:val="00E35DBF"/>
    <w:rsid w:val="00E3723A"/>
    <w:rsid w:val="00E37860"/>
    <w:rsid w:val="00E446F1"/>
    <w:rsid w:val="00E46886"/>
    <w:rsid w:val="00E47AEF"/>
    <w:rsid w:val="00E53B75"/>
    <w:rsid w:val="00E54E3B"/>
    <w:rsid w:val="00E57565"/>
    <w:rsid w:val="00E60FFF"/>
    <w:rsid w:val="00E63838"/>
    <w:rsid w:val="00E64434"/>
    <w:rsid w:val="00E67C51"/>
    <w:rsid w:val="00E72EFC"/>
    <w:rsid w:val="00E73639"/>
    <w:rsid w:val="00E74C74"/>
    <w:rsid w:val="00E758EC"/>
    <w:rsid w:val="00E81168"/>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B9B"/>
    <w:rsid w:val="00F2376F"/>
    <w:rsid w:val="00F243D8"/>
    <w:rsid w:val="00F30632"/>
    <w:rsid w:val="00F30828"/>
    <w:rsid w:val="00F313D6"/>
    <w:rsid w:val="00F40F0C"/>
    <w:rsid w:val="00F4297A"/>
    <w:rsid w:val="00F4766C"/>
    <w:rsid w:val="00F507D1"/>
    <w:rsid w:val="00F519CE"/>
    <w:rsid w:val="00F51ADA"/>
    <w:rsid w:val="00F57AC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1D6"/>
    <w:rsid w:val="00F9056A"/>
    <w:rsid w:val="00F90F8D"/>
    <w:rsid w:val="00F92782"/>
    <w:rsid w:val="00F93AA9"/>
    <w:rsid w:val="00F96985"/>
    <w:rsid w:val="00F97838"/>
    <w:rsid w:val="00FA0A96"/>
    <w:rsid w:val="00FA2BB3"/>
    <w:rsid w:val="00FA6B27"/>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2F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2EFAE"/>
  <w15:chartTrackingRefBased/>
  <w15:docId w15:val="{7FC88849-E5B8-4FEC-A408-796D0353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16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21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216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2168"/>
    <w:pPr>
      <w:numPr>
        <w:ilvl w:val="2"/>
      </w:numPr>
      <w:spacing w:before="120"/>
      <w:outlineLvl w:val="2"/>
    </w:pPr>
    <w:rPr>
      <w:sz w:val="28"/>
      <w:szCs w:val="28"/>
    </w:rPr>
  </w:style>
  <w:style w:type="paragraph" w:styleId="Heading4">
    <w:name w:val="heading 4"/>
    <w:basedOn w:val="Heading3"/>
    <w:next w:val="Normal"/>
    <w:qFormat/>
    <w:rsid w:val="00082168"/>
    <w:pPr>
      <w:numPr>
        <w:ilvl w:val="3"/>
      </w:numPr>
      <w:outlineLvl w:val="3"/>
    </w:pPr>
    <w:rPr>
      <w:sz w:val="24"/>
      <w:szCs w:val="24"/>
    </w:rPr>
  </w:style>
  <w:style w:type="paragraph" w:styleId="Heading5">
    <w:name w:val="heading 5"/>
    <w:basedOn w:val="Heading4"/>
    <w:next w:val="Normal"/>
    <w:qFormat/>
    <w:rsid w:val="00082168"/>
    <w:pPr>
      <w:numPr>
        <w:ilvl w:val="4"/>
      </w:numPr>
      <w:outlineLvl w:val="4"/>
    </w:pPr>
    <w:rPr>
      <w:sz w:val="22"/>
      <w:szCs w:val="22"/>
    </w:rPr>
  </w:style>
  <w:style w:type="paragraph" w:styleId="Heading6">
    <w:name w:val="heading 6"/>
    <w:basedOn w:val="Normal"/>
    <w:next w:val="Normal"/>
    <w:qFormat/>
    <w:rsid w:val="00082168"/>
    <w:pPr>
      <w:keepNext/>
      <w:keepLines/>
      <w:numPr>
        <w:ilvl w:val="5"/>
        <w:numId w:val="1"/>
      </w:numPr>
      <w:spacing w:before="120"/>
      <w:outlineLvl w:val="5"/>
    </w:pPr>
    <w:rPr>
      <w:rFonts w:cs="Arial"/>
    </w:rPr>
  </w:style>
  <w:style w:type="paragraph" w:styleId="Heading7">
    <w:name w:val="heading 7"/>
    <w:basedOn w:val="Normal"/>
    <w:next w:val="Normal"/>
    <w:qFormat/>
    <w:rsid w:val="00082168"/>
    <w:pPr>
      <w:keepNext/>
      <w:keepLines/>
      <w:numPr>
        <w:ilvl w:val="6"/>
        <w:numId w:val="1"/>
      </w:numPr>
      <w:spacing w:before="120"/>
      <w:outlineLvl w:val="6"/>
    </w:pPr>
    <w:rPr>
      <w:rFonts w:cs="Arial"/>
    </w:rPr>
  </w:style>
  <w:style w:type="paragraph" w:styleId="Heading8">
    <w:name w:val="heading 8"/>
    <w:basedOn w:val="Heading7"/>
    <w:next w:val="Normal"/>
    <w:qFormat/>
    <w:rsid w:val="00082168"/>
    <w:pPr>
      <w:numPr>
        <w:ilvl w:val="7"/>
      </w:numPr>
      <w:outlineLvl w:val="7"/>
    </w:pPr>
  </w:style>
  <w:style w:type="paragraph" w:styleId="Heading9">
    <w:name w:val="heading 9"/>
    <w:basedOn w:val="Heading8"/>
    <w:next w:val="Normal"/>
    <w:qFormat/>
    <w:rsid w:val="000821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2168"/>
    <w:pPr>
      <w:spacing w:before="180"/>
      <w:ind w:left="2693" w:hanging="2693"/>
    </w:pPr>
    <w:rPr>
      <w:b w:val="0"/>
      <w:bCs/>
    </w:rPr>
  </w:style>
  <w:style w:type="paragraph" w:styleId="TOC1">
    <w:name w:val="toc 1"/>
    <w:aliases w:val="Observation TOC2"/>
    <w:uiPriority w:val="39"/>
    <w:rsid w:val="0008216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2168"/>
    <w:pPr>
      <w:keepNext/>
      <w:keepLines/>
      <w:spacing w:before="180"/>
      <w:jc w:val="center"/>
    </w:pPr>
  </w:style>
  <w:style w:type="paragraph" w:styleId="Caption">
    <w:name w:val="caption"/>
    <w:basedOn w:val="Normal"/>
    <w:next w:val="Normal"/>
    <w:qFormat/>
    <w:rsid w:val="00082168"/>
    <w:pPr>
      <w:spacing w:after="240"/>
      <w:jc w:val="center"/>
    </w:pPr>
    <w:rPr>
      <w:b/>
      <w:bCs/>
    </w:rPr>
  </w:style>
  <w:style w:type="paragraph" w:styleId="TOC5">
    <w:name w:val="toc 5"/>
    <w:aliases w:val="Observation TOC"/>
    <w:basedOn w:val="TOC4"/>
    <w:semiHidden/>
    <w:rsid w:val="00082168"/>
    <w:pPr>
      <w:tabs>
        <w:tab w:val="right" w:pos="1701"/>
      </w:tabs>
      <w:ind w:left="1701" w:hanging="1701"/>
    </w:pPr>
  </w:style>
  <w:style w:type="paragraph" w:styleId="TOC4">
    <w:name w:val="toc 4"/>
    <w:basedOn w:val="TOC3"/>
    <w:semiHidden/>
    <w:rsid w:val="00082168"/>
    <w:pPr>
      <w:ind w:left="1418" w:hanging="1418"/>
    </w:pPr>
  </w:style>
  <w:style w:type="paragraph" w:styleId="TOC3">
    <w:name w:val="toc 3"/>
    <w:basedOn w:val="TOC2"/>
    <w:semiHidden/>
    <w:rsid w:val="00082168"/>
    <w:pPr>
      <w:ind w:left="1134" w:hanging="1134"/>
    </w:pPr>
  </w:style>
  <w:style w:type="paragraph" w:styleId="TOC2">
    <w:name w:val="toc 2"/>
    <w:basedOn w:val="TOC1"/>
    <w:semiHidden/>
    <w:rsid w:val="00082168"/>
    <w:pPr>
      <w:keepNext w:val="0"/>
      <w:spacing w:before="0"/>
      <w:ind w:left="851" w:hanging="851"/>
    </w:pPr>
    <w:rPr>
      <w:szCs w:val="20"/>
    </w:rPr>
  </w:style>
  <w:style w:type="paragraph" w:styleId="Index2">
    <w:name w:val="index 2"/>
    <w:basedOn w:val="Index1"/>
    <w:semiHidden/>
    <w:rsid w:val="00082168"/>
    <w:pPr>
      <w:ind w:left="284"/>
    </w:pPr>
  </w:style>
  <w:style w:type="paragraph" w:styleId="Index1">
    <w:name w:val="index 1"/>
    <w:basedOn w:val="Normal"/>
    <w:semiHidden/>
    <w:rsid w:val="00082168"/>
    <w:pPr>
      <w:keepLines/>
      <w:spacing w:after="0"/>
    </w:pPr>
  </w:style>
  <w:style w:type="paragraph" w:styleId="DocumentMap">
    <w:name w:val="Document Map"/>
    <w:basedOn w:val="Normal"/>
    <w:semiHidden/>
    <w:rsid w:val="00082168"/>
    <w:pPr>
      <w:shd w:val="clear" w:color="auto" w:fill="000080"/>
    </w:pPr>
    <w:rPr>
      <w:rFonts w:ascii="Tahoma" w:hAnsi="Tahoma" w:cs="Tahoma"/>
    </w:rPr>
  </w:style>
  <w:style w:type="paragraph" w:styleId="ListNumber2">
    <w:name w:val="List Number 2"/>
    <w:basedOn w:val="ListNumber"/>
    <w:rsid w:val="00082168"/>
    <w:pPr>
      <w:ind w:left="851"/>
    </w:pPr>
  </w:style>
  <w:style w:type="paragraph" w:styleId="ListNumber">
    <w:name w:val="List Number"/>
    <w:basedOn w:val="List"/>
    <w:rsid w:val="00082168"/>
  </w:style>
  <w:style w:type="paragraph" w:styleId="List">
    <w:name w:val="List"/>
    <w:basedOn w:val="Normal"/>
    <w:rsid w:val="00082168"/>
    <w:pPr>
      <w:ind w:left="568" w:hanging="284"/>
    </w:pPr>
  </w:style>
  <w:style w:type="paragraph" w:styleId="Header">
    <w:name w:val="header"/>
    <w:rsid w:val="000821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2168"/>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82168"/>
    <w:pPr>
      <w:keepLines/>
      <w:spacing w:after="0"/>
      <w:ind w:left="454" w:hanging="454"/>
    </w:pPr>
    <w:rPr>
      <w:sz w:val="16"/>
      <w:szCs w:val="16"/>
    </w:rPr>
  </w:style>
  <w:style w:type="paragraph" w:customStyle="1" w:styleId="3GPPHeader">
    <w:name w:val="3GPP_Header"/>
    <w:basedOn w:val="Normal"/>
    <w:rsid w:val="00082168"/>
    <w:pPr>
      <w:tabs>
        <w:tab w:val="left" w:pos="1701"/>
        <w:tab w:val="right" w:pos="9639"/>
      </w:tabs>
      <w:spacing w:after="240"/>
    </w:pPr>
    <w:rPr>
      <w:b/>
      <w:sz w:val="24"/>
    </w:rPr>
  </w:style>
  <w:style w:type="paragraph" w:styleId="TOC9">
    <w:name w:val="toc 9"/>
    <w:basedOn w:val="TOC8"/>
    <w:semiHidden/>
    <w:rsid w:val="00082168"/>
    <w:pPr>
      <w:ind w:left="1418" w:hanging="1418"/>
    </w:pPr>
  </w:style>
  <w:style w:type="paragraph" w:styleId="TOC6">
    <w:name w:val="toc 6"/>
    <w:basedOn w:val="TOC5"/>
    <w:next w:val="Normal"/>
    <w:semiHidden/>
    <w:rsid w:val="00082168"/>
    <w:pPr>
      <w:ind w:left="1985" w:hanging="1985"/>
    </w:pPr>
  </w:style>
  <w:style w:type="paragraph" w:styleId="TOC7">
    <w:name w:val="toc 7"/>
    <w:basedOn w:val="TOC6"/>
    <w:next w:val="Normal"/>
    <w:semiHidden/>
    <w:rsid w:val="00082168"/>
    <w:pPr>
      <w:ind w:left="2268" w:hanging="2268"/>
    </w:pPr>
  </w:style>
  <w:style w:type="paragraph" w:styleId="ListBullet2">
    <w:name w:val="List Bullet 2"/>
    <w:basedOn w:val="ListBullet"/>
    <w:rsid w:val="00082168"/>
    <w:pPr>
      <w:numPr>
        <w:numId w:val="6"/>
      </w:numPr>
    </w:pPr>
  </w:style>
  <w:style w:type="paragraph" w:styleId="ListBullet">
    <w:name w:val="List Bullet"/>
    <w:basedOn w:val="BodyText"/>
    <w:rsid w:val="00082168"/>
    <w:pPr>
      <w:numPr>
        <w:numId w:val="5"/>
      </w:numPr>
    </w:pPr>
  </w:style>
  <w:style w:type="paragraph" w:styleId="ListBullet3">
    <w:name w:val="List Bullet 3"/>
    <w:basedOn w:val="ListBullet2"/>
    <w:rsid w:val="00082168"/>
    <w:pPr>
      <w:numPr>
        <w:numId w:val="7"/>
      </w:numPr>
    </w:pPr>
  </w:style>
  <w:style w:type="paragraph" w:customStyle="1" w:styleId="EQ">
    <w:name w:val="EQ"/>
    <w:basedOn w:val="Normal"/>
    <w:next w:val="Normal"/>
    <w:rsid w:val="00082168"/>
    <w:pPr>
      <w:keepLines/>
      <w:tabs>
        <w:tab w:val="center" w:pos="4536"/>
        <w:tab w:val="right" w:pos="9072"/>
      </w:tabs>
      <w:spacing w:after="180"/>
      <w:jc w:val="left"/>
    </w:pPr>
    <w:rPr>
      <w:noProof/>
      <w:lang w:eastAsia="en-US"/>
    </w:rPr>
  </w:style>
  <w:style w:type="paragraph" w:styleId="List2">
    <w:name w:val="List 2"/>
    <w:basedOn w:val="List"/>
    <w:rsid w:val="00082168"/>
    <w:pPr>
      <w:ind w:left="851"/>
    </w:pPr>
  </w:style>
  <w:style w:type="paragraph" w:styleId="List3">
    <w:name w:val="List 3"/>
    <w:basedOn w:val="List2"/>
    <w:rsid w:val="00082168"/>
    <w:pPr>
      <w:ind w:left="1135"/>
    </w:pPr>
  </w:style>
  <w:style w:type="paragraph" w:styleId="List4">
    <w:name w:val="List 4"/>
    <w:basedOn w:val="List3"/>
    <w:rsid w:val="00082168"/>
    <w:pPr>
      <w:ind w:left="1418"/>
    </w:pPr>
  </w:style>
  <w:style w:type="paragraph" w:styleId="List5">
    <w:name w:val="List 5"/>
    <w:basedOn w:val="List4"/>
    <w:rsid w:val="00082168"/>
    <w:pPr>
      <w:ind w:left="1702"/>
    </w:pPr>
  </w:style>
  <w:style w:type="paragraph" w:customStyle="1" w:styleId="EditorsNote">
    <w:name w:val="Editor's Note"/>
    <w:basedOn w:val="Normal"/>
    <w:rsid w:val="00082168"/>
    <w:pPr>
      <w:keepLines/>
      <w:spacing w:after="180"/>
      <w:ind w:left="1135" w:hanging="851"/>
      <w:jc w:val="left"/>
    </w:pPr>
    <w:rPr>
      <w:color w:val="FF0000"/>
      <w:lang w:eastAsia="en-US"/>
    </w:rPr>
  </w:style>
  <w:style w:type="paragraph" w:styleId="ListBullet4">
    <w:name w:val="List Bullet 4"/>
    <w:basedOn w:val="ListBullet3"/>
    <w:rsid w:val="00082168"/>
    <w:pPr>
      <w:numPr>
        <w:numId w:val="8"/>
      </w:numPr>
    </w:pPr>
  </w:style>
  <w:style w:type="paragraph" w:styleId="ListBullet5">
    <w:name w:val="List Bullet 5"/>
    <w:basedOn w:val="ListBullet4"/>
    <w:rsid w:val="00082168"/>
    <w:pPr>
      <w:numPr>
        <w:numId w:val="4"/>
      </w:numPr>
    </w:pPr>
  </w:style>
  <w:style w:type="paragraph" w:styleId="Footer">
    <w:name w:val="footer"/>
    <w:basedOn w:val="Header"/>
    <w:semiHidden/>
    <w:rsid w:val="00082168"/>
    <w:pPr>
      <w:jc w:val="center"/>
    </w:pPr>
    <w:rPr>
      <w:i/>
      <w:iCs/>
    </w:rPr>
  </w:style>
  <w:style w:type="paragraph" w:customStyle="1" w:styleId="Reference">
    <w:name w:val="Reference"/>
    <w:basedOn w:val="Normal"/>
    <w:rsid w:val="00082168"/>
    <w:pPr>
      <w:numPr>
        <w:numId w:val="2"/>
      </w:numPr>
    </w:pPr>
  </w:style>
  <w:style w:type="paragraph" w:styleId="BalloonText">
    <w:name w:val="Balloon Text"/>
    <w:basedOn w:val="Normal"/>
    <w:semiHidden/>
    <w:rsid w:val="00082168"/>
    <w:rPr>
      <w:rFonts w:ascii="Tahoma" w:hAnsi="Tahoma" w:cs="Tahoma"/>
      <w:sz w:val="16"/>
      <w:szCs w:val="16"/>
    </w:rPr>
  </w:style>
  <w:style w:type="character" w:styleId="PageNumber">
    <w:name w:val="page number"/>
    <w:basedOn w:val="DefaultParagraphFont"/>
    <w:semiHidden/>
    <w:rsid w:val="00082168"/>
  </w:style>
  <w:style w:type="paragraph" w:styleId="BodyText">
    <w:name w:val="Body Text"/>
    <w:basedOn w:val="Normal"/>
    <w:link w:val="BodyTextChar"/>
    <w:rsid w:val="00082168"/>
  </w:style>
  <w:style w:type="character" w:styleId="Hyperlink">
    <w:name w:val="Hyperlink"/>
    <w:uiPriority w:val="99"/>
    <w:rsid w:val="00082168"/>
    <w:rPr>
      <w:color w:val="0000FF"/>
      <w:u w:val="single"/>
      <w:lang w:val="en-GB"/>
    </w:rPr>
  </w:style>
  <w:style w:type="character" w:styleId="FollowedHyperlink">
    <w:name w:val="FollowedHyperlink"/>
    <w:semiHidden/>
    <w:rsid w:val="00082168"/>
    <w:rPr>
      <w:color w:val="FF0000"/>
      <w:u w:val="single"/>
    </w:rPr>
  </w:style>
  <w:style w:type="character" w:styleId="CommentReference">
    <w:name w:val="annotation reference"/>
    <w:semiHidden/>
    <w:rsid w:val="00082168"/>
    <w:rPr>
      <w:sz w:val="16"/>
      <w:szCs w:val="16"/>
    </w:rPr>
  </w:style>
  <w:style w:type="paragraph" w:styleId="CommentText">
    <w:name w:val="annotation text"/>
    <w:basedOn w:val="Normal"/>
    <w:semiHidden/>
    <w:rsid w:val="00082168"/>
  </w:style>
  <w:style w:type="paragraph" w:styleId="CommentSubject">
    <w:name w:val="annotation subject"/>
    <w:basedOn w:val="CommentText"/>
    <w:next w:val="CommentText"/>
    <w:semiHidden/>
    <w:rsid w:val="00082168"/>
    <w:rPr>
      <w:b/>
      <w:bCs/>
    </w:rPr>
  </w:style>
  <w:style w:type="character" w:customStyle="1" w:styleId="Heading1Char">
    <w:name w:val="Heading 1 Char"/>
    <w:link w:val="Heading1"/>
    <w:rsid w:val="00082168"/>
    <w:rPr>
      <w:rFonts w:ascii="Arial" w:hAnsi="Arial" w:cs="Arial"/>
      <w:sz w:val="36"/>
      <w:szCs w:val="36"/>
      <w:lang w:val="en-GB" w:eastAsia="zh-CN"/>
    </w:rPr>
  </w:style>
  <w:style w:type="paragraph" w:customStyle="1" w:styleId="B1">
    <w:name w:val="B1"/>
    <w:basedOn w:val="List"/>
    <w:rsid w:val="00082168"/>
    <w:pPr>
      <w:spacing w:after="180"/>
      <w:jc w:val="left"/>
    </w:pPr>
    <w:rPr>
      <w:lang w:eastAsia="en-US"/>
    </w:rPr>
  </w:style>
  <w:style w:type="paragraph" w:customStyle="1" w:styleId="B2">
    <w:name w:val="B2"/>
    <w:basedOn w:val="List2"/>
    <w:link w:val="B2Char"/>
    <w:rsid w:val="00082168"/>
    <w:pPr>
      <w:spacing w:after="180"/>
      <w:jc w:val="left"/>
    </w:pPr>
    <w:rPr>
      <w:lang w:eastAsia="en-US"/>
    </w:rPr>
  </w:style>
  <w:style w:type="paragraph" w:customStyle="1" w:styleId="B3">
    <w:name w:val="B3"/>
    <w:basedOn w:val="List3"/>
    <w:rsid w:val="00082168"/>
    <w:pPr>
      <w:spacing w:after="180"/>
      <w:jc w:val="left"/>
    </w:pPr>
    <w:rPr>
      <w:lang w:eastAsia="en-US"/>
    </w:rPr>
  </w:style>
  <w:style w:type="paragraph" w:customStyle="1" w:styleId="B4">
    <w:name w:val="B4"/>
    <w:basedOn w:val="List4"/>
    <w:rsid w:val="00082168"/>
    <w:pPr>
      <w:spacing w:after="180"/>
      <w:jc w:val="left"/>
    </w:pPr>
    <w:rPr>
      <w:lang w:eastAsia="en-US"/>
    </w:rPr>
  </w:style>
  <w:style w:type="paragraph" w:customStyle="1" w:styleId="Proposal">
    <w:name w:val="Proposal"/>
    <w:basedOn w:val="Normal"/>
    <w:rsid w:val="00082168"/>
    <w:pPr>
      <w:numPr>
        <w:numId w:val="3"/>
      </w:numPr>
      <w:tabs>
        <w:tab w:val="clear" w:pos="1304"/>
        <w:tab w:val="left" w:pos="1701"/>
      </w:tabs>
      <w:ind w:left="1701" w:hanging="1701"/>
    </w:pPr>
    <w:rPr>
      <w:b/>
      <w:bCs/>
    </w:rPr>
  </w:style>
  <w:style w:type="character" w:customStyle="1" w:styleId="BodyTextChar">
    <w:name w:val="Body Text Char"/>
    <w:link w:val="BodyText"/>
    <w:rsid w:val="00082168"/>
    <w:rPr>
      <w:rFonts w:ascii="Arial" w:hAnsi="Arial"/>
      <w:lang w:val="en-GB" w:eastAsia="zh-CN"/>
    </w:rPr>
  </w:style>
  <w:style w:type="paragraph" w:customStyle="1" w:styleId="B5">
    <w:name w:val="B5"/>
    <w:basedOn w:val="List5"/>
    <w:rsid w:val="00082168"/>
    <w:pPr>
      <w:spacing w:after="180"/>
      <w:jc w:val="left"/>
    </w:pPr>
    <w:rPr>
      <w:lang w:eastAsia="en-US"/>
    </w:rPr>
  </w:style>
  <w:style w:type="paragraph" w:customStyle="1" w:styleId="EX">
    <w:name w:val="EX"/>
    <w:basedOn w:val="Normal"/>
    <w:rsid w:val="00082168"/>
    <w:pPr>
      <w:keepLines/>
      <w:spacing w:after="180"/>
      <w:ind w:left="1702" w:hanging="1418"/>
      <w:jc w:val="left"/>
    </w:pPr>
    <w:rPr>
      <w:lang w:eastAsia="en-US"/>
    </w:rPr>
  </w:style>
  <w:style w:type="paragraph" w:customStyle="1" w:styleId="EW">
    <w:name w:val="EW"/>
    <w:basedOn w:val="EX"/>
    <w:rsid w:val="00082168"/>
    <w:pPr>
      <w:spacing w:after="0"/>
    </w:pPr>
  </w:style>
  <w:style w:type="paragraph" w:customStyle="1" w:styleId="TAL">
    <w:name w:val="TAL"/>
    <w:basedOn w:val="Normal"/>
    <w:rsid w:val="00082168"/>
    <w:pPr>
      <w:keepNext/>
      <w:keepLines/>
      <w:spacing w:after="0"/>
      <w:jc w:val="left"/>
    </w:pPr>
    <w:rPr>
      <w:sz w:val="18"/>
      <w:lang w:eastAsia="en-US"/>
    </w:rPr>
  </w:style>
  <w:style w:type="paragraph" w:customStyle="1" w:styleId="TAC">
    <w:name w:val="TAC"/>
    <w:basedOn w:val="TAL"/>
    <w:rsid w:val="00082168"/>
    <w:pPr>
      <w:jc w:val="center"/>
    </w:pPr>
  </w:style>
  <w:style w:type="paragraph" w:customStyle="1" w:styleId="TAH">
    <w:name w:val="TAH"/>
    <w:basedOn w:val="TAC"/>
    <w:rsid w:val="00082168"/>
    <w:rPr>
      <w:b/>
    </w:rPr>
  </w:style>
  <w:style w:type="paragraph" w:customStyle="1" w:styleId="TAN">
    <w:name w:val="TAN"/>
    <w:basedOn w:val="TAL"/>
    <w:rsid w:val="00082168"/>
    <w:pPr>
      <w:ind w:left="851" w:hanging="851"/>
    </w:pPr>
  </w:style>
  <w:style w:type="paragraph" w:customStyle="1" w:styleId="TAR">
    <w:name w:val="TAR"/>
    <w:basedOn w:val="TAL"/>
    <w:rsid w:val="00082168"/>
    <w:pPr>
      <w:jc w:val="right"/>
    </w:pPr>
  </w:style>
  <w:style w:type="paragraph" w:customStyle="1" w:styleId="TH">
    <w:name w:val="TH"/>
    <w:basedOn w:val="Normal"/>
    <w:rsid w:val="00082168"/>
    <w:pPr>
      <w:keepNext/>
      <w:keepLines/>
      <w:spacing w:before="60" w:after="180"/>
      <w:jc w:val="center"/>
    </w:pPr>
    <w:rPr>
      <w:b/>
      <w:lang w:eastAsia="en-US"/>
    </w:rPr>
  </w:style>
  <w:style w:type="paragraph" w:customStyle="1" w:styleId="TF">
    <w:name w:val="TF"/>
    <w:basedOn w:val="TH"/>
    <w:rsid w:val="00082168"/>
    <w:pPr>
      <w:keepNext w:val="0"/>
      <w:spacing w:before="0" w:after="240"/>
    </w:pPr>
  </w:style>
  <w:style w:type="paragraph" w:customStyle="1" w:styleId="TT">
    <w:name w:val="TT"/>
    <w:basedOn w:val="Heading1"/>
    <w:next w:val="Normal"/>
    <w:rsid w:val="00082168"/>
    <w:pPr>
      <w:numPr>
        <w:numId w:val="0"/>
      </w:numPr>
      <w:ind w:left="1134" w:hanging="1134"/>
      <w:outlineLvl w:val="9"/>
    </w:pPr>
    <w:rPr>
      <w:rFonts w:cs="Times New Roman"/>
      <w:szCs w:val="20"/>
      <w:lang w:eastAsia="en-US"/>
    </w:rPr>
  </w:style>
  <w:style w:type="paragraph" w:customStyle="1" w:styleId="ZA">
    <w:name w:val="ZA"/>
    <w:rsid w:val="000821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21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21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21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2168"/>
  </w:style>
  <w:style w:type="paragraph" w:customStyle="1" w:styleId="ZH">
    <w:name w:val="ZH"/>
    <w:rsid w:val="000821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21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2168"/>
    <w:pPr>
      <w:framePr w:hRule="auto" w:wrap="notBeside" w:y="852"/>
    </w:pPr>
    <w:rPr>
      <w:i w:val="0"/>
      <w:sz w:val="40"/>
    </w:rPr>
  </w:style>
  <w:style w:type="paragraph" w:customStyle="1" w:styleId="ZU">
    <w:name w:val="ZU"/>
    <w:rsid w:val="000821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2168"/>
    <w:pPr>
      <w:framePr w:wrap="notBeside" w:y="16161"/>
    </w:pPr>
  </w:style>
  <w:style w:type="paragraph" w:customStyle="1" w:styleId="FP">
    <w:name w:val="FP"/>
    <w:basedOn w:val="Normal"/>
    <w:rsid w:val="00082168"/>
    <w:pPr>
      <w:spacing w:after="0"/>
      <w:jc w:val="left"/>
    </w:pPr>
    <w:rPr>
      <w:lang w:eastAsia="en-US"/>
    </w:rPr>
  </w:style>
  <w:style w:type="paragraph" w:customStyle="1" w:styleId="Observation">
    <w:name w:val="Observation"/>
    <w:basedOn w:val="Proposal"/>
    <w:qFormat/>
    <w:rsid w:val="00082168"/>
    <w:pPr>
      <w:numPr>
        <w:numId w:val="9"/>
      </w:numPr>
      <w:ind w:left="1701" w:hanging="1701"/>
    </w:pPr>
  </w:style>
  <w:style w:type="paragraph" w:styleId="TableofFigures">
    <w:name w:val="table of figures"/>
    <w:basedOn w:val="Normal"/>
    <w:next w:val="Normal"/>
    <w:uiPriority w:val="99"/>
    <w:rsid w:val="00082168"/>
    <w:pPr>
      <w:ind w:left="1418" w:hanging="1418"/>
      <w:jc w:val="left"/>
    </w:pPr>
    <w:rPr>
      <w:b/>
    </w:rPr>
  </w:style>
  <w:style w:type="paragraph" w:customStyle="1" w:styleId="Doc-text2">
    <w:name w:val="Doc-text2"/>
    <w:basedOn w:val="Normal"/>
    <w:link w:val="Doc-text2Char"/>
    <w:qFormat/>
    <w:rsid w:val="000821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82168"/>
    <w:rPr>
      <w:rFonts w:ascii="Arial" w:eastAsia="MS Mincho" w:hAnsi="Arial"/>
      <w:szCs w:val="24"/>
      <w:lang w:val="en-GB" w:eastAsia="en-GB"/>
    </w:rPr>
  </w:style>
  <w:style w:type="paragraph" w:styleId="ListParagraph">
    <w:name w:val="List Paragraph"/>
    <w:basedOn w:val="Normal"/>
    <w:uiPriority w:val="34"/>
    <w:qFormat/>
    <w:rsid w:val="00E35DBF"/>
    <w:pPr>
      <w:ind w:left="720"/>
      <w:contextualSpacing/>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C28E9"/>
    <w:rPr>
      <w:rFonts w:ascii="Arial" w:hAnsi="Arial"/>
      <w:sz w:val="16"/>
      <w:szCs w:val="16"/>
      <w:lang w:val="en-GB" w:eastAsia="zh-CN"/>
    </w:rPr>
  </w:style>
  <w:style w:type="character" w:customStyle="1" w:styleId="B2Char">
    <w:name w:val="B2 Char"/>
    <w:link w:val="B2"/>
    <w:rsid w:val="00E73639"/>
    <w:rPr>
      <w:rFonts w:ascii="Arial" w:hAnsi="Arial"/>
      <w:lang w:val="en-GB"/>
    </w:rPr>
  </w:style>
  <w:style w:type="paragraph" w:styleId="Revision">
    <w:name w:val="Revision"/>
    <w:hidden/>
    <w:uiPriority w:val="99"/>
    <w:semiHidden/>
    <w:rsid w:val="00205E8C"/>
    <w:rPr>
      <w:rFonts w:ascii="Arial" w:hAnsi="Arial"/>
      <w:lang w:val="en-GB" w:eastAsia="zh-CN"/>
    </w:rPr>
  </w:style>
  <w:style w:type="paragraph" w:customStyle="1" w:styleId="CRCoverPage">
    <w:name w:val="CR Cover Page"/>
    <w:rsid w:val="00AC2C2A"/>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39046">
      <w:bodyDiv w:val="1"/>
      <w:marLeft w:val="0"/>
      <w:marRight w:val="0"/>
      <w:marTop w:val="0"/>
      <w:marBottom w:val="0"/>
      <w:divBdr>
        <w:top w:val="none" w:sz="0" w:space="0" w:color="auto"/>
        <w:left w:val="none" w:sz="0" w:space="0" w:color="auto"/>
        <w:bottom w:val="none" w:sz="0" w:space="0" w:color="auto"/>
        <w:right w:val="none" w:sz="0" w:space="0" w:color="auto"/>
      </w:divBdr>
    </w:div>
    <w:div w:id="138035330">
      <w:bodyDiv w:val="1"/>
      <w:marLeft w:val="0"/>
      <w:marRight w:val="0"/>
      <w:marTop w:val="0"/>
      <w:marBottom w:val="0"/>
      <w:divBdr>
        <w:top w:val="none" w:sz="0" w:space="0" w:color="auto"/>
        <w:left w:val="none" w:sz="0" w:space="0" w:color="auto"/>
        <w:bottom w:val="none" w:sz="0" w:space="0" w:color="auto"/>
        <w:right w:val="none" w:sz="0" w:space="0" w:color="auto"/>
      </w:divBdr>
    </w:div>
    <w:div w:id="159660026">
      <w:bodyDiv w:val="1"/>
      <w:marLeft w:val="0"/>
      <w:marRight w:val="0"/>
      <w:marTop w:val="0"/>
      <w:marBottom w:val="0"/>
      <w:divBdr>
        <w:top w:val="none" w:sz="0" w:space="0" w:color="auto"/>
        <w:left w:val="none" w:sz="0" w:space="0" w:color="auto"/>
        <w:bottom w:val="none" w:sz="0" w:space="0" w:color="auto"/>
        <w:right w:val="none" w:sz="0" w:space="0" w:color="auto"/>
      </w:divBdr>
    </w:div>
    <w:div w:id="246235031">
      <w:bodyDiv w:val="1"/>
      <w:marLeft w:val="0"/>
      <w:marRight w:val="0"/>
      <w:marTop w:val="0"/>
      <w:marBottom w:val="0"/>
      <w:divBdr>
        <w:top w:val="none" w:sz="0" w:space="0" w:color="auto"/>
        <w:left w:val="none" w:sz="0" w:space="0" w:color="auto"/>
        <w:bottom w:val="none" w:sz="0" w:space="0" w:color="auto"/>
        <w:right w:val="none" w:sz="0" w:space="0" w:color="auto"/>
      </w:divBdr>
      <w:divsChild>
        <w:div w:id="328099457">
          <w:marLeft w:val="835"/>
          <w:marRight w:val="0"/>
          <w:marTop w:val="96"/>
          <w:marBottom w:val="0"/>
          <w:divBdr>
            <w:top w:val="none" w:sz="0" w:space="0" w:color="auto"/>
            <w:left w:val="none" w:sz="0" w:space="0" w:color="auto"/>
            <w:bottom w:val="none" w:sz="0" w:space="0" w:color="auto"/>
            <w:right w:val="none" w:sz="0" w:space="0" w:color="auto"/>
          </w:divBdr>
        </w:div>
      </w:divsChild>
    </w:div>
    <w:div w:id="295911111">
      <w:bodyDiv w:val="1"/>
      <w:marLeft w:val="0"/>
      <w:marRight w:val="0"/>
      <w:marTop w:val="0"/>
      <w:marBottom w:val="0"/>
      <w:divBdr>
        <w:top w:val="none" w:sz="0" w:space="0" w:color="auto"/>
        <w:left w:val="none" w:sz="0" w:space="0" w:color="auto"/>
        <w:bottom w:val="none" w:sz="0" w:space="0" w:color="auto"/>
        <w:right w:val="none" w:sz="0" w:space="0" w:color="auto"/>
      </w:divBdr>
      <w:divsChild>
        <w:div w:id="219831219">
          <w:marLeft w:val="274"/>
          <w:marRight w:val="0"/>
          <w:marTop w:val="115"/>
          <w:marBottom w:val="0"/>
          <w:divBdr>
            <w:top w:val="none" w:sz="0" w:space="0" w:color="auto"/>
            <w:left w:val="none" w:sz="0" w:space="0" w:color="auto"/>
            <w:bottom w:val="none" w:sz="0" w:space="0" w:color="auto"/>
            <w:right w:val="none" w:sz="0" w:space="0" w:color="auto"/>
          </w:divBdr>
        </w:div>
      </w:divsChild>
    </w:div>
    <w:div w:id="447237958">
      <w:bodyDiv w:val="1"/>
      <w:marLeft w:val="0"/>
      <w:marRight w:val="0"/>
      <w:marTop w:val="0"/>
      <w:marBottom w:val="0"/>
      <w:divBdr>
        <w:top w:val="none" w:sz="0" w:space="0" w:color="auto"/>
        <w:left w:val="none" w:sz="0" w:space="0" w:color="auto"/>
        <w:bottom w:val="none" w:sz="0" w:space="0" w:color="auto"/>
        <w:right w:val="none" w:sz="0" w:space="0" w:color="auto"/>
      </w:divBdr>
    </w:div>
    <w:div w:id="467284254">
      <w:bodyDiv w:val="1"/>
      <w:marLeft w:val="0"/>
      <w:marRight w:val="0"/>
      <w:marTop w:val="0"/>
      <w:marBottom w:val="0"/>
      <w:divBdr>
        <w:top w:val="none" w:sz="0" w:space="0" w:color="auto"/>
        <w:left w:val="none" w:sz="0" w:space="0" w:color="auto"/>
        <w:bottom w:val="none" w:sz="0" w:space="0" w:color="auto"/>
        <w:right w:val="none" w:sz="0" w:space="0" w:color="auto"/>
      </w:divBdr>
    </w:div>
    <w:div w:id="547839402">
      <w:bodyDiv w:val="1"/>
      <w:marLeft w:val="0"/>
      <w:marRight w:val="0"/>
      <w:marTop w:val="0"/>
      <w:marBottom w:val="0"/>
      <w:divBdr>
        <w:top w:val="none" w:sz="0" w:space="0" w:color="auto"/>
        <w:left w:val="none" w:sz="0" w:space="0" w:color="auto"/>
        <w:bottom w:val="none" w:sz="0" w:space="0" w:color="auto"/>
        <w:right w:val="none" w:sz="0" w:space="0" w:color="auto"/>
      </w:divBdr>
      <w:divsChild>
        <w:div w:id="1153450353">
          <w:marLeft w:val="274"/>
          <w:marRight w:val="0"/>
          <w:marTop w:val="115"/>
          <w:marBottom w:val="0"/>
          <w:divBdr>
            <w:top w:val="none" w:sz="0" w:space="0" w:color="auto"/>
            <w:left w:val="none" w:sz="0" w:space="0" w:color="auto"/>
            <w:bottom w:val="none" w:sz="0" w:space="0" w:color="auto"/>
            <w:right w:val="none" w:sz="0" w:space="0" w:color="auto"/>
          </w:divBdr>
        </w:div>
      </w:divsChild>
    </w:div>
    <w:div w:id="614681422">
      <w:bodyDiv w:val="1"/>
      <w:marLeft w:val="0"/>
      <w:marRight w:val="0"/>
      <w:marTop w:val="0"/>
      <w:marBottom w:val="0"/>
      <w:divBdr>
        <w:top w:val="none" w:sz="0" w:space="0" w:color="auto"/>
        <w:left w:val="none" w:sz="0" w:space="0" w:color="auto"/>
        <w:bottom w:val="none" w:sz="0" w:space="0" w:color="auto"/>
        <w:right w:val="none" w:sz="0" w:space="0" w:color="auto"/>
      </w:divBdr>
    </w:div>
    <w:div w:id="645667566">
      <w:bodyDiv w:val="1"/>
      <w:marLeft w:val="0"/>
      <w:marRight w:val="0"/>
      <w:marTop w:val="0"/>
      <w:marBottom w:val="0"/>
      <w:divBdr>
        <w:top w:val="none" w:sz="0" w:space="0" w:color="auto"/>
        <w:left w:val="none" w:sz="0" w:space="0" w:color="auto"/>
        <w:bottom w:val="none" w:sz="0" w:space="0" w:color="auto"/>
        <w:right w:val="none" w:sz="0" w:space="0" w:color="auto"/>
      </w:divBdr>
    </w:div>
    <w:div w:id="714694652">
      <w:bodyDiv w:val="1"/>
      <w:marLeft w:val="0"/>
      <w:marRight w:val="0"/>
      <w:marTop w:val="0"/>
      <w:marBottom w:val="0"/>
      <w:divBdr>
        <w:top w:val="none" w:sz="0" w:space="0" w:color="auto"/>
        <w:left w:val="none" w:sz="0" w:space="0" w:color="auto"/>
        <w:bottom w:val="none" w:sz="0" w:space="0" w:color="auto"/>
        <w:right w:val="none" w:sz="0" w:space="0" w:color="auto"/>
      </w:divBdr>
    </w:div>
    <w:div w:id="738138866">
      <w:bodyDiv w:val="1"/>
      <w:marLeft w:val="0"/>
      <w:marRight w:val="0"/>
      <w:marTop w:val="0"/>
      <w:marBottom w:val="0"/>
      <w:divBdr>
        <w:top w:val="none" w:sz="0" w:space="0" w:color="auto"/>
        <w:left w:val="none" w:sz="0" w:space="0" w:color="auto"/>
        <w:bottom w:val="none" w:sz="0" w:space="0" w:color="auto"/>
        <w:right w:val="none" w:sz="0" w:space="0" w:color="auto"/>
      </w:divBdr>
    </w:div>
    <w:div w:id="819612410">
      <w:bodyDiv w:val="1"/>
      <w:marLeft w:val="0"/>
      <w:marRight w:val="0"/>
      <w:marTop w:val="0"/>
      <w:marBottom w:val="0"/>
      <w:divBdr>
        <w:top w:val="none" w:sz="0" w:space="0" w:color="auto"/>
        <w:left w:val="none" w:sz="0" w:space="0" w:color="auto"/>
        <w:bottom w:val="none" w:sz="0" w:space="0" w:color="auto"/>
        <w:right w:val="none" w:sz="0" w:space="0" w:color="auto"/>
      </w:divBdr>
    </w:div>
    <w:div w:id="1118912786">
      <w:bodyDiv w:val="1"/>
      <w:marLeft w:val="0"/>
      <w:marRight w:val="0"/>
      <w:marTop w:val="0"/>
      <w:marBottom w:val="0"/>
      <w:divBdr>
        <w:top w:val="none" w:sz="0" w:space="0" w:color="auto"/>
        <w:left w:val="none" w:sz="0" w:space="0" w:color="auto"/>
        <w:bottom w:val="none" w:sz="0" w:space="0" w:color="auto"/>
        <w:right w:val="none" w:sz="0" w:space="0" w:color="auto"/>
      </w:divBdr>
      <w:divsChild>
        <w:div w:id="857890657">
          <w:marLeft w:val="835"/>
          <w:marRight w:val="0"/>
          <w:marTop w:val="96"/>
          <w:marBottom w:val="0"/>
          <w:divBdr>
            <w:top w:val="none" w:sz="0" w:space="0" w:color="auto"/>
            <w:left w:val="none" w:sz="0" w:space="0" w:color="auto"/>
            <w:bottom w:val="none" w:sz="0" w:space="0" w:color="auto"/>
            <w:right w:val="none" w:sz="0" w:space="0" w:color="auto"/>
          </w:divBdr>
        </w:div>
      </w:divsChild>
    </w:div>
    <w:div w:id="12831955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541241">
      <w:bodyDiv w:val="1"/>
      <w:marLeft w:val="0"/>
      <w:marRight w:val="0"/>
      <w:marTop w:val="0"/>
      <w:marBottom w:val="0"/>
      <w:divBdr>
        <w:top w:val="none" w:sz="0" w:space="0" w:color="auto"/>
        <w:left w:val="none" w:sz="0" w:space="0" w:color="auto"/>
        <w:bottom w:val="none" w:sz="0" w:space="0" w:color="auto"/>
        <w:right w:val="none" w:sz="0" w:space="0" w:color="auto"/>
      </w:divBdr>
      <w:divsChild>
        <w:div w:id="1803500764">
          <w:marLeft w:val="274"/>
          <w:marRight w:val="0"/>
          <w:marTop w:val="115"/>
          <w:marBottom w:val="0"/>
          <w:divBdr>
            <w:top w:val="none" w:sz="0" w:space="0" w:color="auto"/>
            <w:left w:val="none" w:sz="0" w:space="0" w:color="auto"/>
            <w:bottom w:val="none" w:sz="0" w:space="0" w:color="auto"/>
            <w:right w:val="none" w:sz="0" w:space="0" w:color="auto"/>
          </w:divBdr>
        </w:div>
      </w:divsChild>
    </w:div>
    <w:div w:id="1686442755">
      <w:bodyDiv w:val="1"/>
      <w:marLeft w:val="0"/>
      <w:marRight w:val="0"/>
      <w:marTop w:val="0"/>
      <w:marBottom w:val="0"/>
      <w:divBdr>
        <w:top w:val="none" w:sz="0" w:space="0" w:color="auto"/>
        <w:left w:val="none" w:sz="0" w:space="0" w:color="auto"/>
        <w:bottom w:val="none" w:sz="0" w:space="0" w:color="auto"/>
        <w:right w:val="none" w:sz="0" w:space="0" w:color="auto"/>
      </w:divBdr>
      <w:divsChild>
        <w:div w:id="1707171519">
          <w:marLeft w:val="274"/>
          <w:marRight w:val="0"/>
          <w:marTop w:val="115"/>
          <w:marBottom w:val="0"/>
          <w:divBdr>
            <w:top w:val="none" w:sz="0" w:space="0" w:color="auto"/>
            <w:left w:val="none" w:sz="0" w:space="0" w:color="auto"/>
            <w:bottom w:val="none" w:sz="0" w:space="0" w:color="auto"/>
            <w:right w:val="none" w:sz="0" w:space="0" w:color="auto"/>
          </w:divBdr>
        </w:div>
      </w:divsChild>
    </w:div>
    <w:div w:id="1908568084">
      <w:bodyDiv w:val="1"/>
      <w:marLeft w:val="0"/>
      <w:marRight w:val="0"/>
      <w:marTop w:val="0"/>
      <w:marBottom w:val="0"/>
      <w:divBdr>
        <w:top w:val="none" w:sz="0" w:space="0" w:color="auto"/>
        <w:left w:val="none" w:sz="0" w:space="0" w:color="auto"/>
        <w:bottom w:val="none" w:sz="0" w:space="0" w:color="auto"/>
        <w:right w:val="none" w:sz="0" w:space="0" w:color="auto"/>
      </w:divBdr>
      <w:divsChild>
        <w:div w:id="818501427">
          <w:marLeft w:val="835"/>
          <w:marRight w:val="0"/>
          <w:marTop w:val="96"/>
          <w:marBottom w:val="0"/>
          <w:divBdr>
            <w:top w:val="none" w:sz="0" w:space="0" w:color="auto"/>
            <w:left w:val="none" w:sz="0" w:space="0" w:color="auto"/>
            <w:bottom w:val="none" w:sz="0" w:space="0" w:color="auto"/>
            <w:right w:val="none" w:sz="0" w:space="0" w:color="auto"/>
          </w:divBdr>
        </w:div>
      </w:divsChild>
    </w:div>
    <w:div w:id="1941600473">
      <w:bodyDiv w:val="1"/>
      <w:marLeft w:val="0"/>
      <w:marRight w:val="0"/>
      <w:marTop w:val="0"/>
      <w:marBottom w:val="0"/>
      <w:divBdr>
        <w:top w:val="none" w:sz="0" w:space="0" w:color="auto"/>
        <w:left w:val="none" w:sz="0" w:space="0" w:color="auto"/>
        <w:bottom w:val="none" w:sz="0" w:space="0" w:color="auto"/>
        <w:right w:val="none" w:sz="0" w:space="0" w:color="auto"/>
      </w:divBdr>
      <w:divsChild>
        <w:div w:id="2104448659">
          <w:marLeft w:val="274"/>
          <w:marRight w:val="0"/>
          <w:marTop w:val="115"/>
          <w:marBottom w:val="0"/>
          <w:divBdr>
            <w:top w:val="none" w:sz="0" w:space="0" w:color="auto"/>
            <w:left w:val="none" w:sz="0" w:space="0" w:color="auto"/>
            <w:bottom w:val="none" w:sz="0" w:space="0" w:color="auto"/>
            <w:right w:val="none" w:sz="0" w:space="0" w:color="auto"/>
          </w:divBdr>
        </w:div>
      </w:divsChild>
    </w:div>
    <w:div w:id="1991639867">
      <w:bodyDiv w:val="1"/>
      <w:marLeft w:val="0"/>
      <w:marRight w:val="0"/>
      <w:marTop w:val="0"/>
      <w:marBottom w:val="0"/>
      <w:divBdr>
        <w:top w:val="none" w:sz="0" w:space="0" w:color="auto"/>
        <w:left w:val="none" w:sz="0" w:space="0" w:color="auto"/>
        <w:bottom w:val="none" w:sz="0" w:space="0" w:color="auto"/>
        <w:right w:val="none" w:sz="0" w:space="0" w:color="auto"/>
      </w:divBdr>
    </w:div>
    <w:div w:id="204814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5NUHHDQN7SK2-1-179585</_dlc_DocId>
    <_dlc_DocIdUrl xmlns="f166a696-7b5b-4ccd-9f0c-ffde0cceec81">
      <Url>https://ericsson.sharepoint.com/sites/star/_layouts/15/DocIdRedir.aspx?ID=5NUHHDQN7SK2-1-179585</Url>
      <Description>5NUHHDQN7SK2-1-179585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7E63048-42CF-40E9-BCEB-9D112D4B19E6}">
  <ds:schemaRefs>
    <ds:schemaRef ds:uri="Microsoft.SharePoint.Taxonomy.ContentTypeSync"/>
  </ds:schemaRefs>
</ds:datastoreItem>
</file>

<file path=customXml/itemProps3.xml><?xml version="1.0" encoding="utf-8"?>
<ds:datastoreItem xmlns:ds="http://schemas.openxmlformats.org/officeDocument/2006/customXml" ds:itemID="{8E45CB55-4A16-42F7-A944-51B5A56F340C}">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ECD89603-A031-465F-8B92-6D4E1A493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C026388-EE9B-40FD-ABFC-6D3242BE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TDoc; Ericsson; 3GPP</cp:keywords>
  <cp:lastModifiedBy>Reem Karaki</cp:lastModifiedBy>
  <cp:revision>27</cp:revision>
  <cp:lastPrinted>2008-01-31T16:09:00Z</cp:lastPrinted>
  <dcterms:created xsi:type="dcterms:W3CDTF">2017-08-09T14:05:00Z</dcterms:created>
  <dcterms:modified xsi:type="dcterms:W3CDTF">2018-02-16T15:55:00Z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5NUHHDQN7SK2-1-562</vt:lpwstr>
  </property>
  <property fmtid="{D5CDD505-2E9C-101B-9397-08002B2CF9AE}" pid="5" name="_dlc_DocIdItemGuid">
    <vt:lpwstr>1e4745cb-503f-4c13-ae2b-07de838eb4fc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